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42ff4fa8847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2417</w:t>
      </w:r>
    </w:p>
    <w:p>
      <w:pPr>
        <w:jc w:val="center"/>
        <w:spacing w:before="480" w:after="0" w:line="240"/>
      </w:pPr>
      <w:r>
        <w:t xml:space="preserve">Chapter </w:t>
      </w:r>
      <w:r>
        <w:rPr/>
        <w:t xml:space="preserve">82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COMMUNITY CUSTODY--VARIOUS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26</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Davis and Peterson)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serving community custody terms; amending RCW 9.94A.737, 9.94A.631, and 9.94A.716; adding a new section to chapter 72.09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After an offender has committed and been sanctioned for five low level violations, </w:t>
      </w:r>
      <w:r>
        <w:t>((</w:t>
      </w:r>
      <w:r>
        <w:rPr>
          <w:strike/>
        </w:rPr>
        <w:t xml:space="preserve">all</w:t>
      </w:r>
      <w:r>
        <w:t>))</w:t>
      </w:r>
      <w:r>
        <w:rPr/>
        <w:t xml:space="preserve"> subsequent violations committed by that offender </w:t>
      </w:r>
      <w:r>
        <w:t>((</w:t>
      </w:r>
      <w:r>
        <w:rPr>
          <w:strike/>
        </w:rPr>
        <w:t xml:space="preserve">shall automatically</w:t>
      </w:r>
      <w:r>
        <w:t>))</w:t>
      </w:r>
      <w:r>
        <w:rPr/>
        <w:t xml:space="preserve"> </w:t>
      </w:r>
      <w:r>
        <w:rPr>
          <w:u w:val="single"/>
        </w:rPr>
        <w:t xml:space="preserve">may</w:t>
      </w:r>
      <w:r>
        <w:rPr/>
        <w:t xml:space="preserve"> be considered high level violations</w:t>
      </w:r>
      <w:r>
        <w:rPr>
          <w:u w:val="single"/>
        </w:rPr>
        <w:t xml:space="preserve">, provided that any decision to elevate a violation complies with policies and rules established by the department</w:t>
      </w:r>
      <w:r>
        <w:rPr/>
        <w:t xml:space="preserve">.</w:t>
      </w:r>
    </w:p>
    <w:p>
      <w:pPr>
        <w:spacing w:before="0" w:after="0" w:line="408" w:lineRule="exact"/>
        <w:ind w:left="0" w:right="0" w:firstLine="576"/>
        <w:jc w:val="left"/>
      </w:pPr>
      <w:r>
        <w:rPr/>
        <w:t xml:space="preserve">(c)(i)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If the offender's underlying offense is one of the following felonies </w:t>
      </w:r>
      <w:r>
        <w:rPr>
          <w:u w:val="single"/>
        </w:rPr>
        <w:t xml:space="preserve">provided in this subsection</w:t>
      </w:r>
      <w:r>
        <w:rPr/>
        <w:t xml:space="preserve"> and the violation behavior constitutes a new misdemeanor, gross misdemeanor</w:t>
      </w:r>
      <w:r>
        <w:rPr>
          <w:u w:val="single"/>
        </w:rPr>
        <w:t xml:space="preserve">,</w:t>
      </w:r>
      <w:r>
        <w:rPr/>
        <w:t xml:space="preserve"> or felony, the offender shall be held in total confinement pending a sanction hearing, and until the </w:t>
      </w:r>
      <w:r>
        <w:rPr>
          <w:u w:val="single"/>
        </w:rPr>
        <w:t xml:space="preserve">earlier of: The date the</w:t>
      </w:r>
      <w:r>
        <w:rPr/>
        <w:t xml:space="preserve"> sanction expires </w:t>
      </w:r>
      <w:r>
        <w:t>((</w:t>
      </w:r>
      <w:r>
        <w:rPr>
          <w:strike/>
        </w:rPr>
        <w:t xml:space="preserve">or until if</w:t>
      </w:r>
      <w:r>
        <w:t>))</w:t>
      </w:r>
      <w:r>
        <w:rPr>
          <w:u w:val="single"/>
        </w:rPr>
        <w:t xml:space="preserve">; the date</w:t>
      </w:r>
      <w:r>
        <w:rPr/>
        <w:t xml:space="preserve"> a prosecuting attorney files new charges against the offender</w:t>
      </w:r>
      <w:r>
        <w:t>((</w:t>
      </w:r>
      <w:r>
        <w:rPr>
          <w:strike/>
        </w:rPr>
        <w:t xml:space="preserve">, whichever occurs first</w:t>
      </w:r>
      <w:r>
        <w:t>))</w:t>
      </w:r>
      <w:r>
        <w:rPr>
          <w:u w:val="single"/>
        </w:rPr>
        <w:t xml:space="preserve">; or the date a prosecuting attorney provides the department with written notice that new charges will not be filed for the violation behavior. The following underlying offenses apply to the restrictions in this subsection</w:t>
      </w:r>
      <w:r>
        <w:rPr/>
        <w:t xml:space="preserve">:</w:t>
      </w:r>
    </w:p>
    <w:p>
      <w:pPr>
        <w:spacing w:before="0" w:after="0" w:line="408" w:lineRule="exact"/>
        <w:ind w:left="0" w:right="0" w:firstLine="576"/>
        <w:jc w:val="left"/>
      </w:pPr>
      <w:r>
        <w:rPr/>
        <w:t xml:space="preserve">(a) Assault in the first degree, as defined in RCW 9A.36.011;</w:t>
      </w:r>
    </w:p>
    <w:p>
      <w:pPr>
        <w:spacing w:before="0" w:after="0" w:line="408" w:lineRule="exact"/>
        <w:ind w:left="0" w:right="0" w:firstLine="576"/>
        <w:jc w:val="left"/>
      </w:pPr>
      <w:r>
        <w:rPr/>
        <w:t xml:space="preserve">(b) Assault of a child in the first degree, as defined in RCW 9A.36.120;</w:t>
      </w:r>
    </w:p>
    <w:p>
      <w:pPr>
        <w:spacing w:before="0" w:after="0" w:line="408" w:lineRule="exact"/>
        <w:ind w:left="0" w:right="0" w:firstLine="576"/>
        <w:jc w:val="left"/>
      </w:pPr>
      <w:r>
        <w:rPr/>
        <w:t xml:space="preserve">(c) Assault of a child in the second degree, as defined in RCW 9A.36.130;</w:t>
      </w:r>
    </w:p>
    <w:p>
      <w:pPr>
        <w:spacing w:before="0" w:after="0" w:line="408" w:lineRule="exact"/>
        <w:ind w:left="0" w:right="0" w:firstLine="576"/>
        <w:jc w:val="left"/>
      </w:pPr>
      <w:r>
        <w:rPr/>
        <w:t xml:space="preserve">(d) Burglary in the first degree, as defined in RCW 9A.52.020;</w:t>
      </w:r>
    </w:p>
    <w:p>
      <w:pPr>
        <w:spacing w:before="0" w:after="0" w:line="408" w:lineRule="exact"/>
        <w:ind w:left="0" w:right="0" w:firstLine="576"/>
        <w:jc w:val="left"/>
      </w:pPr>
      <w:r>
        <w:rPr/>
        <w:t xml:space="preserve">(e) Child molestation in the first degree, as defined in RCW 9A.44.083;</w:t>
      </w:r>
    </w:p>
    <w:p>
      <w:pPr>
        <w:spacing w:before="0" w:after="0" w:line="408" w:lineRule="exact"/>
        <w:ind w:left="0" w:right="0" w:firstLine="576"/>
        <w:jc w:val="left"/>
      </w:pPr>
      <w:r>
        <w:rPr/>
        <w:t xml:space="preserve">(f) Commercial sexual abuse of a minor, as defined in RCW 9.68A.100;</w:t>
      </w:r>
    </w:p>
    <w:p>
      <w:pPr>
        <w:spacing w:before="0" w:after="0" w:line="408" w:lineRule="exact"/>
        <w:ind w:left="0" w:right="0" w:firstLine="576"/>
        <w:jc w:val="left"/>
      </w:pPr>
      <w:r>
        <w:rPr/>
        <w:t xml:space="preserve">(g) Dealing in depictions of a minor engaged in sexually explicit conduct, as defined in RCW 9.68A.050;</w:t>
      </w:r>
    </w:p>
    <w:p>
      <w:pPr>
        <w:spacing w:before="0" w:after="0" w:line="408" w:lineRule="exact"/>
        <w:ind w:left="0" w:right="0" w:firstLine="576"/>
        <w:jc w:val="left"/>
      </w:pPr>
      <w:r>
        <w:rPr/>
        <w:t xml:space="preserve">(h) Homicide by abuse, as defined in RCW 9A.32.055;</w:t>
      </w:r>
    </w:p>
    <w:p>
      <w:pPr>
        <w:spacing w:before="0" w:after="0" w:line="408" w:lineRule="exact"/>
        <w:ind w:left="0" w:right="0" w:firstLine="576"/>
        <w:jc w:val="left"/>
      </w:pPr>
      <w:r>
        <w:rPr/>
        <w:t xml:space="preserve">(i) Indecent liberties with forcible compulsion, as defined in RCW 9A.44.100(1)(a);</w:t>
      </w:r>
    </w:p>
    <w:p>
      <w:pPr>
        <w:spacing w:before="0" w:after="0" w:line="408" w:lineRule="exact"/>
        <w:ind w:left="0" w:right="0" w:firstLine="576"/>
        <w:jc w:val="left"/>
      </w:pPr>
      <w:r>
        <w:rPr/>
        <w:t xml:space="preserve">(j) Indecent liberties with a person capable of consent, as defined in RCW 9A.44.100(1)(b);</w:t>
      </w:r>
    </w:p>
    <w:p>
      <w:pPr>
        <w:spacing w:before="0" w:after="0" w:line="408" w:lineRule="exact"/>
        <w:ind w:left="0" w:right="0" w:firstLine="576"/>
        <w:jc w:val="left"/>
      </w:pPr>
      <w:r>
        <w:rPr/>
        <w:t xml:space="preserve">(k) Kidnapping in the first degree, as defined in RCW 9A.40.020;</w:t>
      </w:r>
    </w:p>
    <w:p>
      <w:pPr>
        <w:spacing w:before="0" w:after="0" w:line="408" w:lineRule="exact"/>
        <w:ind w:left="0" w:right="0" w:firstLine="576"/>
        <w:jc w:val="left"/>
      </w:pPr>
      <w:r>
        <w:rPr/>
        <w:t xml:space="preserve">(l) Murder in the first degree, as defined in RCW 9A.32.030;</w:t>
      </w:r>
    </w:p>
    <w:p>
      <w:pPr>
        <w:spacing w:before="0" w:after="0" w:line="408" w:lineRule="exact"/>
        <w:ind w:left="0" w:right="0" w:firstLine="576"/>
        <w:jc w:val="left"/>
      </w:pPr>
      <w:r>
        <w:rPr/>
        <w:t xml:space="preserve">(m) Murder in the second degree, as defined in RCW 9A.32.050;</w:t>
      </w:r>
    </w:p>
    <w:p>
      <w:pPr>
        <w:spacing w:before="0" w:after="0" w:line="408" w:lineRule="exact"/>
        <w:ind w:left="0" w:right="0" w:firstLine="576"/>
        <w:jc w:val="left"/>
      </w:pPr>
      <w:r>
        <w:rPr/>
        <w:t xml:space="preserve">(n) Promoting commercial sexual abuse of a minor, as defined in RCW 9.68A.101;</w:t>
      </w:r>
    </w:p>
    <w:p>
      <w:pPr>
        <w:spacing w:before="0" w:after="0" w:line="408" w:lineRule="exact"/>
        <w:ind w:left="0" w:right="0" w:firstLine="576"/>
        <w:jc w:val="left"/>
      </w:pPr>
      <w:r>
        <w:rPr/>
        <w:t xml:space="preserve">(o) Rape in the first degree, as defined in RCW 9A.44.040;</w:t>
      </w:r>
    </w:p>
    <w:p>
      <w:pPr>
        <w:spacing w:before="0" w:after="0" w:line="408" w:lineRule="exact"/>
        <w:ind w:left="0" w:right="0" w:firstLine="576"/>
        <w:jc w:val="left"/>
      </w:pPr>
      <w:r>
        <w:rPr/>
        <w:t xml:space="preserve">(p) Rape in the second degree, as defined in RCW 9A.44.050;</w:t>
      </w:r>
    </w:p>
    <w:p>
      <w:pPr>
        <w:spacing w:before="0" w:after="0" w:line="408" w:lineRule="exact"/>
        <w:ind w:left="0" w:right="0" w:firstLine="576"/>
        <w:jc w:val="left"/>
      </w:pPr>
      <w:r>
        <w:rPr/>
        <w:t xml:space="preserve">(q) Rape of a child in the first degree, as defined in RCW 9A.44.073;</w:t>
      </w:r>
    </w:p>
    <w:p>
      <w:pPr>
        <w:spacing w:before="0" w:after="0" w:line="408" w:lineRule="exact"/>
        <w:ind w:left="0" w:right="0" w:firstLine="576"/>
        <w:jc w:val="left"/>
      </w:pPr>
      <w:r>
        <w:rPr/>
        <w:t xml:space="preserve">(r) Rape of a child in the second degree, as defined in RCW 9A.44.076;</w:t>
      </w:r>
    </w:p>
    <w:p>
      <w:pPr>
        <w:spacing w:before="0" w:after="0" w:line="408" w:lineRule="exact"/>
        <w:ind w:left="0" w:right="0" w:firstLine="576"/>
        <w:jc w:val="left"/>
      </w:pPr>
      <w:r>
        <w:rPr/>
        <w:t xml:space="preserve">(s) Robbery in the first degree, as defined in RCW 9A.56.200;</w:t>
      </w:r>
    </w:p>
    <w:p>
      <w:pPr>
        <w:spacing w:before="0" w:after="0" w:line="408" w:lineRule="exact"/>
        <w:ind w:left="0" w:right="0" w:firstLine="576"/>
        <w:jc w:val="left"/>
      </w:pPr>
      <w:r>
        <w:rPr/>
        <w:t xml:space="preserve">(t) Sexual exploitation of a minor, as defined in RCW 9.68A.040; or</w:t>
      </w:r>
    </w:p>
    <w:p>
      <w:pPr>
        <w:spacing w:before="0" w:after="0" w:line="408" w:lineRule="exact"/>
        <w:ind w:left="0" w:right="0" w:firstLine="576"/>
        <w:jc w:val="left"/>
      </w:pPr>
      <w:r>
        <w:rPr/>
        <w:t xml:space="preserve">(u) Vehicular homicide while under the influence of intoxicating liquor or any drug, as defined in RCW 46.61.520(1)(a).</w:t>
      </w:r>
    </w:p>
    <w:p>
      <w:pPr>
        <w:spacing w:before="0" w:after="0" w:line="408" w:lineRule="exact"/>
        <w:ind w:left="0" w:right="0" w:firstLine="576"/>
        <w:jc w:val="left"/>
      </w:pPr>
      <w:r>
        <w:rPr/>
        <w:t xml:space="preserve">(6)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rPr/>
        <w:t xml:space="preserve">(7) For purposes of this section, the hearings officer may not rely on unconfirmed or unconfirmable allegations to find that the offender violated a condition.</w:t>
      </w:r>
    </w:p>
    <w:p>
      <w:pPr>
        <w:spacing w:before="0" w:after="0" w:line="408" w:lineRule="exact"/>
        <w:ind w:left="0" w:right="0" w:firstLine="576"/>
        <w:jc w:val="left"/>
      </w:pPr>
      <w:r>
        <w:rPr/>
        <w:t xml:space="preserve">(8)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track and collect data and information on violations of community custody conditions and the sanctions imposed for violations under RCW 9.94A.737, which includes, but is not limited to, the following:</w:t>
      </w:r>
    </w:p>
    <w:p>
      <w:pPr>
        <w:spacing w:before="0" w:after="0" w:line="408" w:lineRule="exact"/>
        <w:ind w:left="0" w:right="0" w:firstLine="576"/>
        <w:jc w:val="left"/>
      </w:pPr>
      <w:r>
        <w:rPr/>
        <w:t xml:space="preserve">(a) The number and types of high level violations and the types of sanctions imposed, including term lengths for confinement sanctions;</w:t>
      </w:r>
    </w:p>
    <w:p>
      <w:pPr>
        <w:spacing w:before="0" w:after="0" w:line="408" w:lineRule="exact"/>
        <w:ind w:left="0" w:right="0" w:firstLine="576"/>
        <w:jc w:val="left"/>
      </w:pPr>
      <w:r>
        <w:rPr/>
        <w:t xml:space="preserve">(b) The number and types of low level violations and the types of sanctions imposed, including nonconfinement sanctions, confinement sanctions, and term lengths for confinement sanctions;</w:t>
      </w:r>
    </w:p>
    <w:p>
      <w:pPr>
        <w:spacing w:before="0" w:after="0" w:line="408" w:lineRule="exact"/>
        <w:ind w:left="0" w:right="0" w:firstLine="576"/>
        <w:jc w:val="left"/>
      </w:pPr>
      <w:r>
        <w:rPr/>
        <w:t xml:space="preserve">(c) The circumstances and frequency at which low level violations are elevated to high level violations under RCW 9.94A.737(2)(b);</w:t>
      </w:r>
    </w:p>
    <w:p>
      <w:pPr>
        <w:spacing w:before="0" w:after="0" w:line="408" w:lineRule="exact"/>
        <w:ind w:left="0" w:right="0" w:firstLine="576"/>
        <w:jc w:val="left"/>
      </w:pPr>
      <w:r>
        <w:rPr/>
        <w:t xml:space="preserve">(d) The number of warrants issued for violations;</w:t>
      </w:r>
    </w:p>
    <w:p>
      <w:pPr>
        <w:spacing w:before="0" w:after="0" w:line="408" w:lineRule="exact"/>
        <w:ind w:left="0" w:right="0" w:firstLine="576"/>
        <w:jc w:val="left"/>
      </w:pPr>
      <w:r>
        <w:rPr/>
        <w:t xml:space="preserve">(e) The number of violations resulting in confinement under RCW 9.94A.737(5), including the length of the confinement, the number of times new charges are filed, and the number of times the department received written notice that new charges would not be filed;</w:t>
      </w:r>
    </w:p>
    <w:p>
      <w:pPr>
        <w:spacing w:before="0" w:after="0" w:line="408" w:lineRule="exact"/>
        <w:ind w:left="0" w:right="0" w:firstLine="576"/>
        <w:jc w:val="left"/>
      </w:pPr>
      <w:r>
        <w:rPr/>
        <w:t xml:space="preserve">(f) Trends in the rate of violations, including the rate of all violations, high level violations, and low level violations; and</w:t>
      </w:r>
    </w:p>
    <w:p>
      <w:pPr>
        <w:spacing w:before="0" w:after="0" w:line="408" w:lineRule="exact"/>
        <w:ind w:left="0" w:right="0" w:firstLine="576"/>
        <w:jc w:val="left"/>
      </w:pPr>
      <w:r>
        <w:rPr/>
        <w:t xml:space="preserve">(g) Trends in the rate of confinement, including frequency of confinement sanctions and average stays.</w:t>
      </w:r>
    </w:p>
    <w:p>
      <w:pPr>
        <w:spacing w:before="0" w:after="0" w:line="408" w:lineRule="exact"/>
        <w:ind w:left="0" w:right="0" w:firstLine="576"/>
        <w:jc w:val="left"/>
      </w:pPr>
      <w:r>
        <w:rPr/>
        <w:t xml:space="preserve">(2) The department shall submit a report with a summary of the data and information collected under this section, including statewide and regional trends, to the governor and appropriate committees of the legislature by November 1, 2021, and every November 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w:t>
      </w:r>
    </w:p>
    <w:p>
      <w:pPr>
        <w:spacing w:before="0" w:after="0" w:line="408" w:lineRule="exact"/>
        <w:ind w:left="0" w:right="0" w:firstLine="576"/>
        <w:jc w:val="left"/>
      </w:pPr>
      <w:r>
        <w:rPr/>
        <w:t xml:space="preserve">(2) The department of corrections shall submit a report, including a summary of the review and update, to the governor and appropriate committees of the legislature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retroactively and prospectively regardless of the date of an offender's underlying crime.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a235daef6aa545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aa4ee618a4c54" /><Relationship Type="http://schemas.openxmlformats.org/officeDocument/2006/relationships/footer" Target="/word/footer1.xml" Id="Ra235daef6aa545cf" /></Relationships>
</file>