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8a1035f71472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2464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116</w:t>
      </w:r>
      <w:r>
        <w:t xml:space="preserve">, Laws of 2020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2020 Regular Session</w:t>
      </w:r>
    </w:p>
    <w:p>
      <w:pPr>
        <w:jc w:val="center"/>
        <w:spacing w:before="480" w:after="0" w:line="240"/>
      </w:pPr>
      <w:r>
        <w:rPr/>
        <w:t xml:space="preserve">PRESCRIPTION MEDICATION--CHARGES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11, 2020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9,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6,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2464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25, 2020 3:03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26, 2020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2464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Gildon and Young)</w:t>
      </w:r>
    </w:p>
    <w:p/>
    <w:p>
      <w:r>
        <w:rPr>
          <w:t xml:space="preserve">READ FIRST TIME 02/04/20.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protecting patients from excess charges for prescription medications; and adding a new section to chapter 48.43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Beginning January 1, 2021, the maximum amount a health carrier or pharmacy benefit manager may require a person to pay at the point of sale for a covered prescription medication is the lesser of: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applicable cost sharing for the prescription medication;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amount the person would pay for the prescription medication if the person purchased the prescription medication without using a health plan.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health carrier or pharmacy benefit manager may not require a pharmacist to dispense a brand name prescription medication when a less expensive therapeutically equivalent generic prescription medication is available.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"pharmacy benefit manager" has the same meaning as in RCW 19.340.010.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9,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6,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25,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26, 2020.</w:t>
      </w:r>
    </w:p>
    <w:sectPr>
      <w:pgNumType w:start="1"/>
      <w:footerReference xmlns:r="http://schemas.openxmlformats.org/officeDocument/2006/relationships" r:id="R827a6c587d04456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2464.SL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b021971bb430a" /><Relationship Type="http://schemas.openxmlformats.org/officeDocument/2006/relationships/footer" Target="/word/footer1.xml" Id="R827a6c587d044566" /></Relationships>
</file>