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09e2d00fa43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2584</w:t>
      </w:r>
    </w:p>
    <w:p>
      <w:pPr>
        <w:jc w:val="center"/>
        <w:spacing w:before="480" w:after="0" w:line="240"/>
      </w:pPr>
      <w:r>
        <w:t xml:space="preserve">Chapter </w:t>
      </w:r>
      <w:r>
        <w:rPr/>
        <w:t xml:space="preserve">285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BEHAVIORAL HEALTH SERVICES--MEDICAID RATE INCREASES--PROCESS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2584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2584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Caldier, Frame, Leavitt, and Davis</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rates for behavioral health services;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including rate increases provided through managed care organizations, the authority must work with the actuaries responsible for establishing medicaid rates for behavioral health services and managed care organizations responsible for distributing funds to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including rate increases provided through managed care organizations, are used for the objectives stated in the appropriation.</w:t>
      </w:r>
    </w:p>
    <w:p>
      <w:pPr>
        <w:spacing w:before="0" w:after="0" w:line="408" w:lineRule="exact"/>
        <w:ind w:left="0" w:right="0" w:firstLine="576"/>
        <w:jc w:val="left"/>
      </w:pPr>
      <w:r>
        <w:rPr/>
        <w:t xml:space="preserve">(b) The process must: (i) Establish which behavioral health provider types the funds are intended for; (ii) include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(iii) include actuarial information provided to managed care organizations to ensure the funds directed to behavioral health providers have been appropriately allocated and accounted for; and (iv) include the participation of managed care organizations, behavioral health administrative services organizations, providers, and provider networks that are the subject of the targeted behavioral health provider rate increases. The process must include a method for determining if the funds have increased access to the behavioral health services offered by the behavioral health providers who are the subject of the targeted provider rate increases.</w:t>
      </w:r>
    </w:p>
    <w:p>
      <w:pPr>
        <w:spacing w:before="0" w:after="0" w:line="408" w:lineRule="exact"/>
        <w:ind w:left="0" w:right="0" w:firstLine="576"/>
        <w:jc w:val="left"/>
      </w:pPr>
      <w:r>
        <w:rPr/>
        <w:t xml:space="preserve">(c) The process may:</w:t>
      </w:r>
    </w:p>
    <w:p>
      <w:pPr>
        <w:spacing w:before="0" w:after="0" w:line="408" w:lineRule="exact"/>
        <w:ind w:left="0" w:right="0" w:firstLine="576"/>
        <w:jc w:val="left"/>
      </w:pPr>
      <w:r>
        <w:rPr/>
        <w:t xml:space="preserve">(i) Include a quantitative method for determining if the funds have increased access to behavioral health services offered by the behavioral health providers who received the targeted provider rate increases;</w:t>
      </w:r>
    </w:p>
    <w:p>
      <w:pPr>
        <w:spacing w:before="0" w:after="0" w:line="408" w:lineRule="exact"/>
        <w:ind w:left="0" w:right="0" w:firstLine="576"/>
        <w:jc w:val="left"/>
      </w:pPr>
      <w:r>
        <w:rPr/>
        <w:t xml:space="preserve">(ii) Ensure the viability of pass-through payments in a capitated rate methodology; and</w:t>
      </w:r>
    </w:p>
    <w:p>
      <w:pPr>
        <w:spacing w:before="0" w:after="0" w:line="408" w:lineRule="exact"/>
        <w:ind w:left="0" w:right="0" w:firstLine="576"/>
        <w:jc w:val="left"/>
      </w:pPr>
      <w:r>
        <w:rPr/>
        <w:t xml:space="preserve">(iii) Ensure that medicaid rate increases account for the impact of value-based contracting on provider reimbursements and implementations of pass-through payments.</w:t>
      </w:r>
    </w:p>
    <w:p>
      <w:pPr>
        <w:spacing w:before="0" w:after="0" w:line="408" w:lineRule="exact"/>
        <w:ind w:left="0" w:right="0" w:firstLine="576"/>
        <w:jc w:val="left"/>
      </w:pPr>
      <w:r>
        <w:rPr/>
        <w:t xml:space="preserve">(4)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bda05a08303849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059d95b5c4e66" /><Relationship Type="http://schemas.openxmlformats.org/officeDocument/2006/relationships/footer" Target="/word/footer1.xml" Id="Rbda05a083038494a" /></Relationships>
</file>