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80ea511784a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2673</w:t>
      </w:r>
    </w:p>
    <w:p>
      <w:pPr>
        <w:jc w:val="center"/>
        <w:spacing w:before="480" w:after="0" w:line="240"/>
      </w:pPr>
      <w:r>
        <w:t xml:space="preserve">Chapter </w:t>
      </w:r>
      <w:r>
        <w:rPr/>
        <w:t xml:space="preserve">87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INFILL DEVELOPMENT EXEMPTIONS--STATE ENVIRONMENTAL POLICY ACT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43</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2673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Barkis, Griffey, Gildon, Steele, Ybarra, Smith, Chambers, Boehnke, Hoff, Vick, Eslick, Volz, Graham, Jenkin, Klippert, Van Werven, Tharinger, and Dufault)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infill development under the state environmental policy act; and amending RCW 43.21C.229.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2012 1st sp.s. c 1 s 304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w:t>
      </w:r>
      <w:r>
        <w:rPr>
          <w:u w:val="single"/>
        </w:rPr>
        <w:t xml:space="preserve">roughly equal to or</w:t>
      </w:r>
      <w:r>
        <w:rPr/>
        <w:t xml:space="preserve">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w:t>
      </w:r>
      <w:r>
        <w:rPr>
          <w:u w:val="single"/>
        </w:rPr>
        <w:t xml:space="preserve">clearly</w:t>
      </w:r>
      <w:r>
        <w:rPr/>
        <w:t xml:space="preserve">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b5fb274263a14f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fa90fbce484c32" /><Relationship Type="http://schemas.openxmlformats.org/officeDocument/2006/relationships/footer" Target="/word/footer1.xml" Id="Rb5fb274263a14f3c" /></Relationships>
</file>