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311be4aa949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5025</w:t>
      </w:r>
    </w:p>
    <w:p>
      <w:pPr>
        <w:jc w:val="center"/>
        <w:spacing w:before="480" w:after="0" w:line="240"/>
      </w:pPr>
      <w:r>
        <w:t xml:space="preserve">Chapter </w:t>
      </w:r>
      <w:r>
        <w:rPr/>
        <w:t xml:space="preserve">385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SELF-HELP HOUSING DEVELOPMENT--REAL ESTATE EXCISE TAX EXEMPTION</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Das, Warnick, Wilson, C., Zeiger, Fortunato, Palumbo, Saldaña, Kuderer,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reenacting and amending RCW 82.45.010;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 and</w:t>
      </w:r>
    </w:p>
    <w:p>
      <w:pPr>
        <w:spacing w:before="0" w:after="0" w:line="408" w:lineRule="exact"/>
        <w:ind w:left="0" w:right="0" w:firstLine="576"/>
        <w:jc w:val="left"/>
      </w:pPr>
      <w:r>
        <w:rPr/>
        <w:t xml:space="preserve">(b) The total amount of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The sale by an affordable homeownership facilitator of self-help housing to a low-income household. The definitions in section 2 of this act apply to this subsection.</w:t>
      </w:r>
    </w:p>
    <w:p>
      <w:pPr>
        <w:spacing w:before="0" w:after="0" w:line="408" w:lineRule="exact"/>
        <w:ind w:left="0" w:right="0" w:firstLine="576"/>
        <w:jc w:val="left"/>
      </w:pPr>
      <w:r>
        <w:rPr>
          <w:u w:val="single"/>
        </w:rPr>
        <w:t xml:space="preserve">(ii) The definitions in this subsection (3)(u) apply to this subsection (3)(u) unless the context clearly requires otherwise.</w:t>
      </w:r>
    </w:p>
    <w:p>
      <w:pPr>
        <w:spacing w:before="0" w:after="0" w:line="408" w:lineRule="exact"/>
        <w:ind w:left="0" w:right="0" w:firstLine="576"/>
        <w:jc w:val="left"/>
      </w:pPr>
      <w:r>
        <w:rPr>
          <w:u w:val="single"/>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u w:val="single"/>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u w:val="single"/>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3b5c745e881740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59777502f4616" /><Relationship Type="http://schemas.openxmlformats.org/officeDocument/2006/relationships/footer" Target="/word/footer1.xml" Id="R3b5c745e881740ff" /></Relationships>
</file>