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a6674bae4746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5162</w:t>
      </w:r>
    </w:p>
    <w:p>
      <w:pPr>
        <w:jc w:val="center"/>
        <w:spacing w:before="480" w:after="0" w:line="240"/>
      </w:pPr>
      <w:r>
        <w:t xml:space="preserve">Chapter </w:t>
      </w:r>
      <w:r>
        <w:rPr/>
        <w:t xml:space="preserve">41</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JURY SERVICE QUALIFICATIONS--CIVIL RIGHTS RESTORED</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2019</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91</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17, 2019 12:53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18,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5162</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Dhingra, Pedersen, Wellman, Das, Keiser, Palumbo, Carlyle, Darneille, Hasegawa, Saldaña, and Kuderer</w:t>
      </w:r>
    </w:p>
    <w:p/>
    <w:p>
      <w:r>
        <w:rPr>
          <w:t xml:space="preserve">Read first time 01/15/19.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jury service; and amending RCW 2.36.010.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2015 c 7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w:t>
      </w:r>
      <w:r>
        <w:t>))</w:t>
      </w:r>
      <w:r>
        <w:rPr>
          <w:u w:val="single"/>
        </w:rPr>
        <w:t xml:space="preserve">,</w:t>
      </w:r>
      <w:r>
        <w:rPr/>
        <w:t xml:space="preserv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two weeks for counties with a jury source list that has at least seventy thousand names and one month for counties with a jury source list of less than seventy thousand names,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one week for counties with a jury source list that has at least seventy thousand names, and two weeks for counties with a jury source list of less than seventy thousand names, except to complete a trial to which the juror was assigned during the service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0" w:after="0" w:line="408" w:lineRule="exact"/>
        <w:ind w:left="0" w:right="0" w:firstLine="576"/>
        <w:jc w:val="left"/>
      </w:pPr>
      <w:r>
        <w:rPr>
          <w:u w:val="single"/>
        </w:rPr>
        <w:t xml:space="preserve">(13) "Civil rights restored" means a person's right to vote has been provisionally or permanently restored prior to reporting for jury service.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25, 2019.</w:t>
      </w:r>
    </w:p>
    <w:p>
      <w:pPr>
        <w:spacing w:before="0" w:after="0" w:line="408" w:lineRule="exact"/>
        <w:ind w:left="0" w:right="0" w:firstLine="576"/>
        <w:jc w:val="left"/>
      </w:pPr>
      <w:r>
        <w:rPr/>
        <w:t xml:space="preserve">Passed by the House April 4, 2019.</w:t>
      </w:r>
    </w:p>
    <w:p>
      <w:pPr>
        <w:spacing w:before="0" w:after="0" w:line="408" w:lineRule="exact"/>
        <w:ind w:left="0" w:right="0" w:firstLine="576"/>
        <w:jc w:val="left"/>
      </w:pPr>
      <w:r>
        <w:rPr/>
        <w:t xml:space="preserve">Approved by the Governor April 17, 2019.</w:t>
      </w:r>
    </w:p>
    <w:p>
      <w:pPr>
        <w:spacing w:before="0" w:after="0" w:line="408" w:lineRule="exact"/>
        <w:ind w:left="0" w:right="0" w:firstLine="576"/>
        <w:jc w:val="left"/>
      </w:pPr>
      <w:r>
        <w:rPr/>
        <w:t xml:space="preserve">Filed in Office of Secretary of State April 18, 2019.</w:t>
      </w:r>
    </w:p>
    <w:sectPr>
      <w:pgNumType w:start="1"/>
      <w:footerReference xmlns:r="http://schemas.openxmlformats.org/officeDocument/2006/relationships" r:id="R960ce8241d20431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ae45d678f6401c" /><Relationship Type="http://schemas.openxmlformats.org/officeDocument/2006/relationships/footer" Target="/word/footer1.xml" Id="R960ce8241d204312" /></Relationships>
</file>