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fe79e812f440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5199</w:t>
      </w:r>
    </w:p>
    <w:p>
      <w:pPr>
        <w:jc w:val="center"/>
        <w:spacing w:before="480" w:after="0" w:line="240"/>
      </w:pPr>
      <w:r>
        <w:t xml:space="preserve">Chapter </w:t>
      </w:r>
      <w:r>
        <w:rPr/>
        <w:t xml:space="preserve">280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CERTAIN CORRECTIONAL EMPLOYEES--BINDING INTEREST ARBITRATION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75</w:t>
            </w:r>
            <w:r>
              <w:t xml:space="preserve">  Nays </w:t>
              <w:t xml:space="preserve">20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5199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11:03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5199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Keiser, Conway, McCoy, Hunt, Das, Saldaña, Wilson, C., Hasegawa, and Van De Wege</w:t>
      </w:r>
    </w:p>
    <w:p/>
    <w:p>
      <w:r>
        <w:rPr>
          <w:t xml:space="preserve">Read first time 01/15/19.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certain correctional employees binding interest arbitration; and amending RCW 41.56.030.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2018 c 253 s 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 or who provided these services on or after January 1, 2016, and before July 1, 2018; or</w:t>
      </w:r>
    </w:p>
    <w:p>
      <w:pPr>
        <w:spacing w:before="0" w:after="0" w:line="408" w:lineRule="exact"/>
        <w:ind w:left="0" w:right="0" w:firstLine="576"/>
        <w:jc w:val="left"/>
      </w:pPr>
      <w:r>
        <w:rPr/>
        <w:t xml:space="preserve">(iii) For state agencies, or who provided these services on or after January 1, 2016, and before July 1, 2018.</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w:t>
      </w:r>
      <w:r>
        <w:rPr>
          <w:u w:val="single"/>
        </w:rPr>
        <w:t xml:space="preserve">in a correctional facility created under RCW 70.48.095, or in a detention facility created under chapter 13.40 RCW that is located in a county with a population over one million five hundred thousand,</w:t>
      </w:r>
      <w:r>
        <w:rPr/>
        <w:t xml:space="preserv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c3ae9b6cb864494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9a5ea0039b4d40" /><Relationship Type="http://schemas.openxmlformats.org/officeDocument/2006/relationships/footer" Target="/word/footer1.xml" Id="Rc3ae9b6cb8644945" /></Relationships>
</file>