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a650a9f7f44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5233</w:t>
      </w:r>
    </w:p>
    <w:p>
      <w:pPr>
        <w:jc w:val="center"/>
        <w:spacing w:before="480" w:after="0" w:line="240"/>
      </w:pPr>
      <w:r>
        <w:t xml:space="preserve">Chapter </w:t>
      </w:r>
      <w:r>
        <w:rPr/>
        <w:t xml:space="preserve">236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CONSTRUCTION WORKERS--SICK LEAVE COLLECTIVE BARGAINING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92</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and Conway</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alternative process for sick leave benefits for workers represented by collective bargaining agreements; amending RCW 49.46.020 and 49.46.210; adding a new section to chapter 49.46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Initiative 1433 is a good law approved by the voters to establish sick leave benefits for workers. The law creates necessary worker protections while simultaneously reducing the spread of communicable sickness and disease and addressing other public health and safety concerns.</w:t>
      </w:r>
    </w:p>
    <w:p>
      <w:pPr>
        <w:spacing w:before="0" w:after="0" w:line="408" w:lineRule="exact"/>
        <w:ind w:left="0" w:right="0" w:firstLine="576"/>
        <w:jc w:val="left"/>
      </w:pPr>
      <w:r>
        <w:rPr/>
        <w:t xml:space="preserve">However, the legislature finds that this new law does not provide for flexibility and portability of benefits for construction workers who may work for multiple employers and who already negotiate wages and benefits with their employers. Workers covered under a collective bargaining agreement for the construction industry should be allowed the ability to negotiate comparable benefits that ensures that eligibility can be achieved and that the benefits are portable from employer to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w:t>
      </w:r>
      <w:r>
        <w:rPr>
          <w:u w:val="single"/>
        </w:rPr>
        <w:t xml:space="preserve">except as provided in section 4 of this act,</w:t>
      </w:r>
      <w:r>
        <w:rPr/>
        <w:t xml:space="preserve"> every employer must provide to each of its employees paid sick leave as provided in RCW 49.46.200 and 49.46.210.</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2017 c 2 s 5 are each amended to read as follows:</w:t>
      </w:r>
    </w:p>
    <w:p>
      <w:pPr>
        <w:spacing w:before="0" w:after="0" w:line="408" w:lineRule="exact"/>
        <w:ind w:left="0" w:right="0" w:firstLine="576"/>
        <w:jc w:val="left"/>
      </w:pPr>
      <w:r>
        <w:rPr/>
        <w:t xml:space="preserve">(1) Beginning January 1, 2018, </w:t>
      </w:r>
      <w:r>
        <w:rPr>
          <w:u w:val="single"/>
        </w:rPr>
        <w:t xml:space="preserve">except as provided in section 4 of this act,</w:t>
      </w:r>
      <w:r>
        <w:rPr/>
        <w:t xml:space="preserve">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sick leave provisions of RCW 49.46.200 through 49.46.830 shall not apply to construction workers covered by a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equivalent sick leave provisions, as provided in subsection (2) of this section;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Equivalent sick leave provisions provided by a collective bargaining agreement must meet the requirements of RCW 49.46.200 through 49.46.830 and the rules adopted by the department of labor and industries, except the payment of leave at the normal hourly compensation may occur before usage.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6b71596b591a4d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d6be15aea4e3f" /><Relationship Type="http://schemas.openxmlformats.org/officeDocument/2006/relationships/footer" Target="/word/footer1.xml" Id="R6b71596b591a4db7" /></Relationships>
</file>