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ceff77ff0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5323</w:t>
      </w:r>
    </w:p>
    <w:p>
      <w:pPr>
        <w:jc w:val="center"/>
        <w:spacing w:before="480" w:after="0" w:line="240"/>
      </w:pPr>
      <w:r>
        <w:t xml:space="preserve">Chapter </w:t>
      </w:r>
      <w:r>
        <w:rPr/>
        <w:t xml:space="preserve">138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PLASTIC BAGS--RETAIL ESTABLISHMENTS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11, which becomes effective June 30,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67</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Das, Carlyle, Kuderer, Palumbo, Hunt, Rolfes, Frockt, Keiser, Pedersen,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reenacting and amending RCW 43.21B.110 and 43.21B.110; adding a new section to chapter 82.04 RCW; adding a new chapter to Title 70 RCW; creating a new section;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"Pass-through charge" means a charge to be collected and retained by retail establishments from their customers when providing recycled content paper carryout bags and reusable carryout bags made of film plastic.</w:t>
      </w:r>
    </w:p>
    <w:p>
      <w:pPr>
        <w:spacing w:before="0" w:after="0" w:line="408" w:lineRule="exact"/>
        <w:ind w:left="0" w:right="0" w:firstLine="576"/>
        <w:jc w:val="left"/>
      </w:pPr>
      <w:r>
        <w:rPr/>
        <w:t xml:space="preserve">(4) "Recycled content paper carryout bag" means a paper carryout bag provided by a retail establishment to a customer that meets the requirements in section 3(6)(a) of this act.</w:t>
      </w:r>
    </w:p>
    <w:p>
      <w:pPr>
        <w:spacing w:before="0" w:after="0" w:line="408" w:lineRule="exact"/>
        <w:ind w:left="0" w:right="0" w:firstLine="576"/>
        <w:jc w:val="left"/>
      </w:pPr>
      <w:r>
        <w:rPr/>
        <w:t xml:space="preserve">(5)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(6) "Reusable carryout bag" means a carryout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(7) "Single-use plastic carryout bag" means any carryout bag that is made from plastic that is designed and suitable only to be used once and disposed.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w:t>
      </w:r>
    </w:p>
    <w:p>
      <w:pPr>
        <w:spacing w:before="0" w:after="0" w:line="408" w:lineRule="exact"/>
        <w:ind w:left="0" w:right="0" w:firstLine="576"/>
        <w:jc w:val="left"/>
      </w:pPr>
      <w:r>
        <w:rPr/>
        <w:t xml:space="preserve">(b) A paper carryout bag or reusable carryout bag made of film plastic that does not meet recycled content requirements; or </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section 7 of this act.</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section 7 of this act. It is the intent of the legislature for the 2025 legislature to reassess the amount of the pass-through charge authorized under this subsection (2)(b), taking into consideration the content of the report to the legislature under section 7 of this act.</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70.360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70.360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Until June 1, 2025, the department shall prioritize the expedited processing of applications for permits related to the expansion or reconfiguration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governments. The department must establish a forum for the filing of complaints. Local governments and any person may file complaints with the department using the forum and local governments may review complaints filed with the department via the forum for purposes of the local government carrying out education and outreach to retail establishments. The forum established by the department may include a complaint form on the department's web site, a telephone hotline, or a public outreach strategy relying upon electronic social media to receive complaints that allege violations. The department, in collaboration with the local governments,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government shall work with retail establishments, retail associations, unions, and other organizations to create educational elements regarding the ban and the benefits of reusable carryout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carryout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rPr/>
        <w:t xml:space="preserve">(7) If specific funding for the purposes of this act, referencing this act by bill or chapter number, is not provided by July 1, 2020, from the waste reduction, recycling, and litter control account for purposes of implementing the education and outreach activities required under this section,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carryout bag ordinance enacted as of April 1, 2020, that has established a pass-through charge of ten cents is not preempted with respect to the amount of the pass-through charge until January 1, 2026.</w:t>
      </w:r>
    </w:p>
    <w:p>
      <w:pPr>
        <w:spacing w:before="0" w:after="0" w:line="408" w:lineRule="exact"/>
        <w:ind w:left="0" w:right="0" w:firstLine="576"/>
        <w:jc w:val="left"/>
      </w:pPr>
      <w:r>
        <w:rPr/>
        <w:t xml:space="preserve">(b) A city, town, county, or municipal corporation ordinance not specified in (a) of this subsection and enacted as of April 1 2020, is not preempted until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of commerce, in consultation with the department, must submit a report to the appropriate committees of the legislature in order to allow an opportunity for the legislature to amend the mil thickness requirements for reusable carryout bags made of film plastic, the amount of the pass-through charges for bags, or to make other needed revisions to this chapter during the 2025 legislative session.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carryout bags;</w:t>
      </w:r>
    </w:p>
    <w:p>
      <w:pPr>
        <w:spacing w:before="0" w:after="0" w:line="408" w:lineRule="exact"/>
        <w:ind w:left="0" w:right="0" w:firstLine="576"/>
        <w:jc w:val="left"/>
      </w:pPr>
      <w:r>
        <w:rPr/>
        <w:t xml:space="preserve">(b) An assessment of the sufficiency of the amount of the pass-through charge allowed under chapter 70.--- RCW (the new chapter created in section 13 of this act) relative to the cost of the authorized bags to retail establishments and an assessment of the pricing and availability of various types of carryout bags. For purposes of conducting this assessment, the department and the department of commerce may request, but not require, retail establishments and bag distributors to furnish information regarding the cost of various types of paper and plastic carryout bags provided to retail establishments; and</w:t>
      </w:r>
    </w:p>
    <w:p>
      <w:pPr>
        <w:spacing w:before="0" w:after="0" w:line="408" w:lineRule="exact"/>
        <w:ind w:left="0" w:right="0" w:firstLine="576"/>
        <w:jc w:val="left"/>
      </w:pPr>
      <w:r>
        <w:rPr/>
        <w:t xml:space="preserve">(c) Recommendations for revisions to chapter 70.--- RCW (the new chapter created in section 13 of this act), if needed.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 In computing the tax due under this chapter, there may be deducted any amounts derived from the pass-through charge collected by a taxpayer pursuant to chapter 70.---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ded0d9dfe41640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7f91a4e794dbd" /><Relationship Type="http://schemas.openxmlformats.org/officeDocument/2006/relationships/footer" Target="/word/footer1.xml" Id="Rded0d9dfe41640d7" /></Relationships>
</file>