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27f7eaa124d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5385</w:t>
      </w:r>
    </w:p>
    <w:p>
      <w:pPr>
        <w:jc w:val="center"/>
        <w:spacing w:before="480" w:after="0" w:line="240"/>
      </w:pPr>
      <w:r>
        <w:t xml:space="preserve">Chapter </w:t>
      </w:r>
      <w:r>
        <w:rPr/>
        <w:t xml:space="preserve">92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TELEMEDICINE REIMBURSEMENT RATES</w:t>
      </w:r>
    </w:p>
    <w:p>
      <w:pPr>
        <w:spacing w:before="720" w:after="240" w:line="240" w:lineRule="exact"/>
        <w:ind w:left="0" w:right="0" w:firstLine="0"/>
        <w:jc w:val="center"/>
      </w:pPr>
      <w:r>
        <w:t xml:space="preserve">EFFECTIVE DATE: </w:t>
      </w:r>
      <w:r>
        <w:rPr/>
        <w:t xml:space="preserve">March 19,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Becker, Cleveland, Braun, O'Ban, Wilson, L., Brown, Warnick, Zeiger, Bailey, and Van De Wege)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reimbursing for telemedicine services at the same rate as in person; amending RCW 48.43.735, 41.05.700, 74.09.325, and 28B.20.830;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for health plans issued or renewed on or after January 1, 2021, a health carrier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w:t>
      </w:r>
      <w:r>
        <w:rPr>
          <w:u w:val="single"/>
        </w:rPr>
        <w:t xml:space="preserve">(a)</w:t>
      </w:r>
      <w:r>
        <w:rPr/>
        <w:t xml:space="preserve">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w:t>
      </w:r>
      <w:r>
        <w:rPr>
          <w:u w:val="single"/>
        </w:rPr>
        <w:t xml:space="preserve">(a)</w:t>
      </w:r>
      <w:r>
        <w:rPr/>
        <w:t xml:space="preserve">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medicaid managed care plan in which the covered person is enrolled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2018 c 256 s 1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w:t>
      </w:r>
      <w:r>
        <w:rPr>
          <w:u w:val="single"/>
        </w:rPr>
        <w:t xml:space="preserve">The collaborative shall study store and forward technology, with a focus on:</w:t>
      </w:r>
    </w:p>
    <w:p>
      <w:pPr>
        <w:spacing w:before="0" w:after="0" w:line="408" w:lineRule="exact"/>
        <w:ind w:left="0" w:right="0" w:firstLine="576"/>
        <w:jc w:val="left"/>
      </w:pPr>
      <w:r>
        <w:rPr>
          <w:u w:val="single"/>
        </w:rPr>
        <w:t xml:space="preserve">(a) Utilization;</w:t>
      </w:r>
    </w:p>
    <w:p>
      <w:pPr>
        <w:spacing w:before="0" w:after="0" w:line="408" w:lineRule="exact"/>
        <w:ind w:left="0" w:right="0" w:firstLine="576"/>
        <w:jc w:val="left"/>
      </w:pPr>
      <w:r>
        <w:rPr>
          <w:u w:val="single"/>
        </w:rPr>
        <w:t xml:space="preserve">(b) Whether store and forward technology should be paid for at parity with in-person services;</w:t>
      </w:r>
    </w:p>
    <w:p>
      <w:pPr>
        <w:spacing w:before="0" w:after="0" w:line="408" w:lineRule="exact"/>
        <w:ind w:left="0" w:right="0" w:firstLine="576"/>
        <w:jc w:val="left"/>
      </w:pPr>
      <w:r>
        <w:rPr>
          <w:u w:val="single"/>
        </w:rPr>
        <w:t xml:space="preserve">(c) The potential for store and forward technology to improve rural health outcomes in Washington state; and</w:t>
      </w:r>
    </w:p>
    <w:p>
      <w:pPr>
        <w:spacing w:before="0" w:after="0" w:line="408" w:lineRule="exact"/>
        <w:ind w:left="0" w:right="0" w:firstLine="576"/>
        <w:jc w:val="left"/>
      </w:pPr>
      <w:r>
        <w:rPr>
          <w:u w:val="single"/>
        </w:rPr>
        <w:t xml:space="preserve">(d) Ocular services.</w:t>
      </w:r>
    </w:p>
    <w:p>
      <w:pPr>
        <w:spacing w:before="0" w:after="0" w:line="408" w:lineRule="exact"/>
        <w:ind w:left="0" w:right="0" w:firstLine="576"/>
        <w:jc w:val="left"/>
      </w:pPr>
      <w:r>
        <w:rPr>
          <w:u w:val="single"/>
        </w:rPr>
        <w:t xml:space="preserve">(5)</w:t>
      </w:r>
      <w:r>
        <w:rPr/>
        <w:t xml:space="preserve"> The meetings of the board shall be open public meetings, with meeting summaries available on a web page.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future of the collaborative shall be reviewed by the legislature with consideration of ongoing technical assistance needs and opportunities. The collaborative terminates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6988477f969f47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8ebd710d34b5e" /><Relationship Type="http://schemas.openxmlformats.org/officeDocument/2006/relationships/footer" Target="/word/footer1.xml" Id="R6988477f969f47c9" /></Relationships>
</file>