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b2f53af9342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5502</w:t>
      </w:r>
    </w:p>
    <w:p>
      <w:pPr>
        <w:jc w:val="center"/>
        <w:spacing w:before="480" w:after="0" w:line="240"/>
      </w:pPr>
      <w:r>
        <w:t xml:space="preserve">Chapter </w:t>
      </w:r>
      <w:r>
        <w:rPr/>
        <w:t xml:space="preserve">192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REDISTRICTING PLANS--DEADLINES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5502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Zeiger and Hunt; by request of Secretary of State)</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alignment of statutory deadlines to the Constitution; and amending RCW 44.05.100.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15th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 1st</w:t>
      </w:r>
      <w:r>
        <w:t>))</w:t>
      </w:r>
      <w:r>
        <w:rPr/>
        <w:t xml:space="preserve"> </w:t>
      </w:r>
      <w:r>
        <w:rPr>
          <w:u w:val="single"/>
        </w:rPr>
        <w:t xml:space="preserve">April 30th</w:t>
      </w:r>
      <w:r>
        <w:rPr/>
        <w:t xml:space="preserve">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37291e0c893f49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3c62507454b90" /><Relationship Type="http://schemas.openxmlformats.org/officeDocument/2006/relationships/footer" Target="/word/footer1.xml" Id="R37291e0c893f49c8" /></Relationships>
</file>