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8b2fe704a4c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5885</w:t>
      </w:r>
    </w:p>
    <w:p>
      <w:pPr>
        <w:jc w:val="center"/>
        <w:spacing w:before="480" w:after="0" w:line="240"/>
      </w:pPr>
      <w:r>
        <w:t xml:space="preserve">Chapter </w:t>
      </w:r>
      <w:r>
        <w:rPr/>
        <w:t xml:space="preserve">90</w:t>
      </w:r>
      <w:r>
        <w:t xml:space="preserve">, Laws of 2019</w:t>
      </w:r>
    </w:p>
    <w:p>
      <w:pPr>
        <w:jc w:val="center"/>
        <w:spacing w:before="360" w:after="0" w:line="240"/>
      </w:pPr>
      <w:r>
        <w:t>66th Legislature</w:t>
      </w:r>
    </w:p>
    <w:p>
      <w:pPr>
        <w:jc w:val="center"/>
      </w:pPr>
      <w:r>
        <w:t>2019 Regular Session</w:t>
      </w:r>
    </w:p>
    <w:p>
      <w:pPr>
        <w:jc w:val="center"/>
        <w:spacing w:before="480" w:after="0" w:line="240"/>
      </w:pPr>
      <w:r>
        <w:rPr/>
        <w:t xml:space="preserve">CHILD VICTIM OF SEX OFFENSE--ADMISSIBILITY OF STATEMENTS</w:t>
      </w:r>
    </w:p>
    <w:p>
      <w:pPr>
        <w:spacing w:before="720" w:after="240" w:line="240" w:lineRule="exact"/>
        <w:ind w:left="0" w:right="0" w:firstLine="0"/>
        <w:jc w:val="center"/>
      </w:pPr>
      <w:r>
        <w:t xml:space="preserve">EFFECTIVE DATE: </w:t>
      </w:r>
      <w:r>
        <w:rPr/>
        <w:t xml:space="preserve">July 28,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11, 2019</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5885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19, 2019 11:48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22, 2019</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5885</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Law &amp; Justice (originally sponsored by Senators Padden, Dhingra, O'Ban, Wilson, C., and Nguyen)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admissibility of testimony of children in criminal and dependency proceedings; and amending RCW 9A.44.120.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1995 c 76 s 1 are each amended to read as follows:</w:t>
      </w:r>
    </w:p>
    <w:p>
      <w:pPr>
        <w:spacing w:before="0" w:after="0" w:line="408" w:lineRule="exact"/>
        <w:ind w:left="0" w:right="0" w:firstLine="576"/>
        <w:jc w:val="left"/>
      </w:pPr>
      <w:r>
        <w:rPr>
          <w:u w:val="single"/>
        </w:rPr>
        <w:t xml:space="preserve">(1)</w:t>
      </w:r>
      <w:r>
        <w:rPr/>
        <w:t xml:space="preserve"> A statement </w:t>
      </w:r>
      <w:r>
        <w:rPr>
          <w:u w:val="single"/>
        </w:rPr>
        <w:t xml:space="preserve">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u w:val="single"/>
        </w:rPr>
        <w:t xml:space="preserve">(a)(i) It is</w:t>
      </w:r>
      <w:r>
        <w:rPr/>
        <w:t xml:space="preserve"> made by a child when under the age of 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w:t>
      </w:r>
      <w:r>
        <w:t>((</w:t>
      </w:r>
      <w:r>
        <w:rPr>
          <w:strike/>
        </w:rPr>
        <w:t xml:space="preserve">, not otherwise admissible by statute or court rule, is admissible in evidence in dependency proceedings under Title 13 RCW and criminal proceedings, including juvenile offense adjudications, in the courts of the state of Washington if:</w:t>
      </w:r>
      <w:r>
        <w:t>))</w:t>
      </w:r>
      <w:r>
        <w:rPr>
          <w:u w:val="single"/>
        </w:rPr>
        <w:t xml:space="preserve">; or</w:t>
      </w:r>
    </w:p>
    <w:p>
      <w:pPr>
        <w:spacing w:before="0" w:after="0" w:line="408" w:lineRule="exact"/>
        <w:ind w:left="0" w:right="0" w:firstLine="576"/>
        <w:jc w:val="left"/>
      </w:pPr>
      <w:r>
        <w:rPr>
          <w:u w:val="single"/>
        </w:rPr>
        <w:t xml:space="preserve">(ii) It is made by a child when under the age of sixteen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t>((</w:t>
      </w:r>
      <w:r>
        <w:rPr>
          <w:strike/>
        </w:rPr>
        <w:t xml:space="preserve">(1)</w:t>
      </w:r>
      <w:r>
        <w:t>))</w:t>
      </w:r>
      <w:r>
        <w:rPr/>
        <w:t xml:space="preserve"> </w:t>
      </w:r>
      <w:r>
        <w:rPr>
          <w:u w:val="single"/>
        </w:rPr>
        <w:t xml:space="preserve">(b)</w:t>
      </w:r>
      <w:r>
        <w:rPr/>
        <w:t xml:space="preserve">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The child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Testifies at the proceedings;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unavailable as a witness</w:t>
      </w:r>
      <w:r>
        <w:t>((</w:t>
      </w:r>
      <w:r>
        <w:rPr>
          <w:strike/>
        </w:rPr>
        <w:t xml:space="preserve">: PROVIDED</w:t>
      </w:r>
      <w:r>
        <w:t>))</w:t>
      </w:r>
      <w:r>
        <w:rPr/>
        <w:t xml:space="preserve">, </w:t>
      </w:r>
      <w:r>
        <w:rPr>
          <w:u w:val="single"/>
        </w:rPr>
        <w:t xml:space="preserve">except t</w:t>
      </w:r>
      <w:r>
        <w:rPr/>
        <w:t xml:space="preserve">hat when the child is unavailable as a witness, such statement may be admitted only if there is corroborative evidence of the act.</w:t>
      </w:r>
    </w:p>
    <w:p>
      <w:pPr>
        <w:spacing w:before="0" w:after="0" w:line="408" w:lineRule="exact"/>
        <w:ind w:left="0" w:right="0" w:firstLine="576"/>
        <w:jc w:val="left"/>
      </w:pPr>
      <w:r>
        <w:rPr>
          <w:u w:val="single"/>
        </w:rPr>
        <w:t xml:space="preserve">(2)</w:t>
      </w:r>
      <w:r>
        <w:rPr/>
        <w:t xml:space="preserve">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11, 2019.</w:t>
      </w:r>
    </w:p>
    <w:p>
      <w:pPr>
        <w:spacing w:before="0" w:after="0" w:line="408" w:lineRule="exact"/>
        <w:ind w:left="0" w:right="0" w:firstLine="576"/>
        <w:jc w:val="left"/>
      </w:pPr>
      <w:r>
        <w:rPr/>
        <w:t xml:space="preserve">Passed by the House April 10, 2019.</w:t>
      </w:r>
    </w:p>
    <w:p>
      <w:pPr>
        <w:spacing w:before="0" w:after="0" w:line="408" w:lineRule="exact"/>
        <w:ind w:left="0" w:right="0" w:firstLine="576"/>
        <w:jc w:val="left"/>
      </w:pPr>
      <w:r>
        <w:rPr/>
        <w:t xml:space="preserve">Approved by the Governor April 19, 2019.</w:t>
      </w:r>
    </w:p>
    <w:p>
      <w:pPr>
        <w:spacing w:before="0" w:after="0" w:line="408" w:lineRule="exact"/>
        <w:ind w:left="0" w:right="0" w:firstLine="576"/>
        <w:jc w:val="left"/>
      </w:pPr>
      <w:r>
        <w:rPr/>
        <w:t xml:space="preserve">Filed in Office of Secretary of State April 22, 2019.</w:t>
      </w:r>
    </w:p>
    <w:sectPr>
      <w:pgNumType w:start="1"/>
      <w:footerReference xmlns:r="http://schemas.openxmlformats.org/officeDocument/2006/relationships" r:id="R37b2a0fb1f47498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c397d18f874158" /><Relationship Type="http://schemas.openxmlformats.org/officeDocument/2006/relationships/footer" Target="/word/footer1.xml" Id="R37b2a0fb1f474988" /></Relationships>
</file>