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dd225d47b40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6004</w:t>
      </w:r>
    </w:p>
    <w:p>
      <w:pPr>
        <w:jc w:val="center"/>
        <w:spacing w:before="480" w:after="0" w:line="240"/>
      </w:pPr>
      <w:r>
        <w:t xml:space="preserve">Chapter </w:t>
      </w:r>
      <w:r>
        <w:rPr/>
        <w:t xml:space="preserve">425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TRAVEL AGENTS AND TOUR OPERATORS--BUSINESS AND OCCUPATION TAX</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52</w:t>
            </w:r>
            <w:r>
              <w:t xml:space="preserve">  Nays </w:t>
              <w:t xml:space="preserve">46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6004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 Rolfes)</w:t>
      </w:r>
    </w:p>
    <w:p/>
    <w:p>
      <w:r>
        <w:rPr>
          <w:t xml:space="preserve">READ FIRST TIME 04/27/19.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travel agents and tour operators; amending RCW 82.04.260;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w:t>
      </w:r>
      <w:r>
        <w:rPr>
          <w:u w:val="single"/>
        </w:rPr>
        <w:t xml:space="preserve">(a)</w:t>
      </w:r>
      <w:r>
        <w:rPr/>
        <w:t xml:space="preserve"> Upon every person engaging within this state in the business of acting as a travel agent or tour operator </w:t>
      </w:r>
      <w:r>
        <w:rPr>
          <w:u w:val="single"/>
        </w:rPr>
        <w:t xml:space="preserve">and whose annual taxable amount for the prior calendar year was two hundred fifty thousand dollars or less</w:t>
      </w:r>
      <w:r>
        <w:rPr/>
        <w:t xml:space="preserve">;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u w:val="single"/>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ff7416a1d1054b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4b3444ad043c0" /><Relationship Type="http://schemas.openxmlformats.org/officeDocument/2006/relationships/footer" Target="/word/footer1.xml" Id="Rff7416a1d1054b90" /></Relationships>
</file>