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f41fec04684c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6211</w:t>
      </w:r>
    </w:p>
    <w:p>
      <w:pPr>
        <w:jc w:val="center"/>
        <w:spacing w:before="480" w:after="0" w:line="240"/>
      </w:pPr>
      <w:r>
        <w:t xml:space="preserve">Chapter </w:t>
      </w:r>
      <w:r>
        <w:rPr/>
        <w:t xml:space="preserve">252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DRUG OFFENDER SENTENCING ALTERNATIVE--VARIOUS PROVISIONS</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Dhingra, Padden, Nguyen,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9.94A.664, and 9.94A.030;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The examination must be performed by an agency certified by the department of health to provide substance use disorder services.</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or partial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w:t>
      </w:r>
      <w:r>
        <w:t>((</w:t>
      </w:r>
      <w:r>
        <w:rPr>
          <w:strike/>
        </w:rPr>
        <w:t xml:space="preserve">Costs of examinations and preparing treatment plans under a special drug offender sentencing alternative may be paid, at the option of the county, from funds provided to the county from the criminal justice treatment account under RCW 71.24.580</w:t>
      </w:r>
      <w:r>
        <w:t>))</w:t>
      </w:r>
      <w:r>
        <w:rPr/>
        <w:t xml:space="preserve"> </w:t>
      </w:r>
      <w:r>
        <w:rPr>
          <w:u w:val="single"/>
        </w:rPr>
        <w:t xml:space="preserve">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rules established by the health care authority. In establishing rules pursuant to this subsection, the health care authority must consider criteria established by the American society of addiction medicine</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t>
      </w:r>
      <w:r>
        <w:t>((</w:t>
      </w:r>
      <w:r>
        <w:rPr>
          <w:strike/>
        </w:rPr>
        <w:t xml:space="preserve">other than a violent offense or a sex offense and</w:t>
      </w:r>
      <w:r>
        <w:t>))</w:t>
      </w:r>
      <w:r>
        <w:rPr/>
        <w:t xml:space="preserv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a54e0072ef774e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1f9015fa94068" /><Relationship Type="http://schemas.openxmlformats.org/officeDocument/2006/relationships/footer" Target="/word/footer1.xml" Id="Ra54e0072ef774e2d" /></Relationships>
</file>