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76c12b80f41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6236</w:t>
      </w:r>
    </w:p>
    <w:p>
      <w:pPr>
        <w:jc w:val="center"/>
        <w:spacing w:before="480" w:after="0" w:line="240"/>
      </w:pPr>
      <w:r>
        <w:t xml:space="preserve">Chapter </w:t>
      </w:r>
      <w:r>
        <w:rPr/>
        <w:t xml:space="preserve">254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CIVIL RIGHTS--NONECONOMIC DAMAGES--PRIVILEGED HEALTH INFORMATION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Kuderer, Pedersen, Lovelett, Wellman, and Hasegawa</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noneconomic damage waivers; and amending RCW 49.60.510.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510</w:t>
      </w:r>
      <w:r>
        <w:rPr/>
        <w:t xml:space="preserve"> and 2018 c 70 s 1 are each amended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w:t>
      </w:r>
      <w:r>
        <w:t>((</w:t>
      </w:r>
      <w:r>
        <w:rPr>
          <w:strike/>
        </w:rPr>
        <w:t xml:space="preserve">diagnosable</w:t>
      </w:r>
      <w:r>
        <w:t>))</w:t>
      </w:r>
      <w:r>
        <w:rPr/>
        <w:t xml:space="preserve"> </w:t>
      </w:r>
      <w:r>
        <w:rPr>
          <w:u w:val="single"/>
        </w:rPr>
        <w:t xml:space="preserve">diagnosed</w:t>
      </w:r>
      <w:r>
        <w:rPr/>
        <w:t xml:space="preserve"> physical or psychiatric injury as a proximate result of the respondents' conduct</w:t>
      </w:r>
      <w:r>
        <w:t>((</w:t>
      </w:r>
      <w:r>
        <w:rPr>
          <w:strike/>
        </w:rPr>
        <w:t xml:space="preserve">;</w:t>
      </w:r>
      <w:r>
        <w:t>))</w:t>
      </w:r>
      <w:r>
        <w:rPr>
          <w:u w:val="single"/>
        </w:rPr>
        <w:t xml:space="preserve">, and</w:t>
      </w:r>
      <w:r>
        <w:rPr/>
        <w:t xml:space="preserve"> </w:t>
      </w:r>
      <w:r>
        <w:t>((</w:t>
      </w:r>
      <w:r>
        <w:rPr>
          <w:strike/>
        </w:rPr>
        <w:t xml:space="preserve">(b)</w:t>
      </w:r>
      <w:r>
        <w:t>))</w:t>
      </w:r>
      <w:r>
        <w:rPr/>
        <w:t xml:space="preserve"> </w:t>
      </w:r>
      <w:r>
        <w:rPr>
          <w:u w:val="single"/>
        </w:rPr>
        <w:t xml:space="preserve">r</w:t>
      </w:r>
      <w:r>
        <w:rPr/>
        <w:t xml:space="preserve">elies on the records or testimony of a health care provider or expert witness to seek general damages;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Alleges failure to accommodate a disability or alleges discrimination on the basis of a disability.</w:t>
      </w:r>
    </w:p>
    <w:p>
      <w:pPr>
        <w:spacing w:before="0" w:after="0" w:line="408" w:lineRule="exact"/>
        <w:ind w:left="0" w:right="0" w:firstLine="576"/>
        <w:jc w:val="left"/>
      </w:pPr>
      <w:r>
        <w:rPr/>
        <w:t xml:space="preserve">(2) Any waiver under subsection (1)(a) </w:t>
      </w:r>
      <w:r>
        <w:t>((</w:t>
      </w:r>
      <w:r>
        <w:rPr>
          <w:strike/>
        </w:rPr>
        <w:t xml:space="preserve">through (c)</w:t>
      </w:r>
      <w:r>
        <w:t>))</w:t>
      </w:r>
      <w:r>
        <w:rPr/>
        <w:t xml:space="preserve"> </w:t>
      </w:r>
      <w:r>
        <w:rPr>
          <w:u w:val="single"/>
        </w:rPr>
        <w:t xml:space="preserve">and (b)</w:t>
      </w:r>
      <w:r>
        <w:rPr/>
        <w:t xml:space="preserve">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w:t>
      </w:r>
      <w:r>
        <w:t>((</w:t>
      </w:r>
      <w:r>
        <w:rPr>
          <w:strike/>
        </w:rPr>
        <w:t xml:space="preserve">diagnosable</w:t>
      </w:r>
      <w:r>
        <w:t>))</w:t>
      </w:r>
      <w:r>
        <w:rPr/>
        <w:t xml:space="preserve"> </w:t>
      </w:r>
      <w:r>
        <w:rPr>
          <w:u w:val="single"/>
        </w:rPr>
        <w:t xml:space="preserve">diagnosed</w:t>
      </w:r>
      <w:r>
        <w:rPr/>
        <w:t xml:space="preserve"> injury, to the health care provider or providers on which the claimant relies in the action, or to the disability specifically at issue in the allegation.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b2d2be9bd20641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3f1ca4e1a4eca" /><Relationship Type="http://schemas.openxmlformats.org/officeDocument/2006/relationships/footer" Target="/word/footer1.xml" Id="Rb2d2be9bd20641a0" /></Relationships>
</file>