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ecc197ea543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6483</w:t>
      </w:r>
    </w:p>
    <w:p>
      <w:pPr>
        <w:jc w:val="center"/>
        <w:spacing w:before="480" w:after="0" w:line="240"/>
      </w:pPr>
      <w:r>
        <w:t xml:space="preserve">Chapter </w:t>
      </w:r>
      <w:r>
        <w:rPr/>
        <w:t xml:space="preserve">321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 CARE PROVIDER RATING REQUIREMENTS--REMEDIAL ACTIVITIES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and Nguyen; by request of Department of Children, Youth, and Families)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rating requirements for child care providers; amending RCW 43.216.515; reenacting and amending RCW 43.216.135; and amending 2019 c 369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2019 c 369 s 3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w:t>
      </w:r>
      <w:r>
        <w:t>((</w:t>
      </w:r>
      <w:r>
        <w:rPr>
          <w:strike/>
        </w:rPr>
        <w:t xml:space="preserve">six</w:t>
      </w:r>
      <w:r>
        <w:t>))</w:t>
      </w:r>
      <w:r>
        <w:rPr/>
        <w:t xml:space="preserve"> </w:t>
      </w:r>
      <w:r>
        <w:rPr>
          <w:u w:val="single"/>
        </w:rPr>
        <w:t xml:space="preserve">twelve</w:t>
      </w:r>
      <w:r>
        <w:rPr/>
        <w:t xml:space="preserve">-month remedial period to continue to provide services until the current school year is finished.</w:t>
      </w:r>
    </w:p>
    <w:p>
      <w:pPr>
        <w:spacing w:before="0" w:after="0" w:line="408" w:lineRule="exact"/>
        <w:ind w:left="0" w:right="0" w:firstLine="576"/>
        <w:jc w:val="left"/>
      </w:pPr>
      <w:r>
        <w:rPr>
          <w:u w:val="single"/>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u w:val="single"/>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369 s 6</w:t>
      </w:r>
      <w:r>
        <w:rPr/>
        <w:t xml:space="preserve"> (uncodified) is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must deliver a progress report to the governor and the legislature by </w:t>
      </w:r>
      <w:r>
        <w:t>((</w:t>
      </w:r>
      <w:r>
        <w:rPr>
          <w:strike/>
        </w:rPr>
        <w:t xml:space="preserve">July</w:t>
      </w:r>
      <w:r>
        <w:t>))</w:t>
      </w:r>
      <w:r>
        <w:rPr/>
        <w:t xml:space="preserve"> </w:t>
      </w:r>
      <w:r>
        <w:rPr>
          <w:u w:val="single"/>
        </w:rPr>
        <w:t xml:space="preserve">September</w:t>
      </w:r>
      <w:r>
        <w:rPr/>
        <w:t xml:space="preserve">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w:t>
      </w:r>
      <w:r>
        <w:t>((</w:t>
      </w:r>
      <w:r>
        <w:rPr>
          <w:strike/>
        </w:rPr>
        <w:t xml:space="preserve">2020</w:t>
      </w:r>
      <w:r>
        <w:t>))</w:t>
      </w:r>
      <w:r>
        <w:rPr/>
        <w:t xml:space="preserve"> </w:t>
      </w:r>
      <w:r>
        <w:rPr>
          <w:u w:val="single"/>
        </w:rPr>
        <w:t xml:space="preserve">2022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dacd19bd3f554b2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b3daa72894c9a" /><Relationship Type="http://schemas.openxmlformats.org/officeDocument/2006/relationships/footer" Target="/word/footer1.xml" Id="Rdacd19bd3f554b2f" /></Relationships>
</file>