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4aca6b9e04e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6492</w:t>
      </w:r>
    </w:p>
    <w:p>
      <w:pPr>
        <w:jc w:val="center"/>
        <w:spacing w:before="480" w:after="0" w:line="240"/>
      </w:pPr>
      <w:r>
        <w:t xml:space="preserve">Chapter </w:t>
      </w:r>
      <w:r>
        <w:rPr/>
        <w:t xml:space="preserve">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WORKFORCE EDUCATION INVESTMENT FUNDING--BUSINESS AND OCCUPATION TAX</w:t>
      </w:r>
    </w:p>
    <w:p>
      <w:pPr>
        <w:spacing w:before="720" w:after="240" w:line="240" w:lineRule="exact"/>
        <w:ind w:left="0" w:right="0" w:firstLine="0"/>
        <w:jc w:val="center"/>
      </w:pPr>
      <w:r>
        <w:t xml:space="preserve">EFFECTIVE DATE: </w:t>
      </w:r>
      <w:r>
        <w:rPr/>
        <w:t xml:space="preserve">February 10, 2020</w:t>
      </w:r>
      <w:r>
        <w:rPr>
          <w:rFonts w:ascii="Times New Roman" w:hAnsi="Times New Roman"/>
        </w:rPr>
        <w:t xml:space="preserve">—</w:t>
      </w:r>
      <w:r>
        <w:rPr/>
        <w:t xml:space="preserve">Except for sections 1 through 3, which become effective April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2020</w:t>
            </w:r>
          </w:p>
          <w:p>
            <w:pPr>
              <w:ind w:left="0" w:right="0" w:firstLine="360"/>
            </w:pPr>
            <w:r>
              <w:t xml:space="preserve">Yeas </w:t>
              <w:t xml:space="preserve">28</w:t>
            </w:r>
            <w:r>
              <w:t xml:space="preserve">  Nays </w:t>
              <w:t xml:space="preserve">21</w:t>
            </w:r>
          </w:p>
          <w:p>
            <w:pPr>
              <w:jc w:val="center"/>
              <w:spacing w:before="480" w:after="0" w:line="240"/>
            </w:pPr>
            <w:r>
              <w:t xml:space="preserve">STEVE CONWAY</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6, 2020</w:t>
            </w:r>
          </w:p>
          <w:p>
            <w:pPr>
              <w:ind w:left="0" w:right="0" w:firstLine="360"/>
            </w:pPr>
            <w:r>
              <w:t xml:space="preserve">Yeas </w:t>
              <w:t xml:space="preserve">52</w:t>
            </w:r>
            <w:r>
              <w:t xml:space="preserve">  Nays </w:t>
              <w:t xml:space="preserve">45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10, 2020 3:11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10,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Pedersen, Rolfes, and Wilson, C.)</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workforce education investment funding through business and occupation tax reform; amending RCW 28C.18.200, 43.79.195, 82.04.290, and 82.04.299;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1.75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subject to the surcharge imposed under RCW 82.04.299;</w:t>
      </w:r>
    </w:p>
    <w:p>
      <w:pPr>
        <w:spacing w:before="0" w:after="0" w:line="408" w:lineRule="exact"/>
        <w:ind w:left="0" w:right="0" w:firstLine="576"/>
        <w:jc w:val="left"/>
      </w:pPr>
      <w:r>
        <w:rPr>
          <w:u w:val="single"/>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(C) Hospitals as defined in RCW 70.41.020, including any hospital that comes within the scope of chapter 71.12 RCW if the hospital is also licensed under chapter 70.41 RCW. This subsection (2)(a)(ii)(C)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u w:val="singl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u w:val="single"/>
        </w:rPr>
        <w:t xml:space="preserve">(f) For purposes of this subsection (2), the definitions in this subsection (2)(f)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t>((</w:t>
      </w:r>
      <w:r>
        <w:rPr>
          <w:strike/>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w:t>
      </w:r>
      <w:r>
        <w:t>((</w:t>
      </w:r>
      <w:r>
        <w:rPr>
          <w:strike/>
        </w:rPr>
        <w:t xml:space="preserve">January</w:t>
      </w:r>
      <w:r>
        <w:t>))</w:t>
      </w:r>
      <w:r>
        <w:rPr/>
        <w:t xml:space="preserve"> </w:t>
      </w:r>
      <w:r>
        <w:rPr>
          <w:u w:val="single"/>
        </w:rPr>
        <w:t xml:space="preserve">April</w:t>
      </w:r>
      <w:r>
        <w:rPr/>
        <w:t xml:space="preserve">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w:t>
      </w:r>
      <w:r>
        <w:t>((</w:t>
      </w:r>
      <w:r>
        <w:rPr>
          <w:strike/>
        </w:rPr>
        <w:t xml:space="preserve">seven</w:t>
      </w:r>
      <w:r>
        <w:t>))</w:t>
      </w:r>
      <w:r>
        <w:rPr/>
        <w:t xml:space="preserve"> </w:t>
      </w:r>
      <w:r>
        <w:rPr>
          <w:u w:val="single"/>
        </w:rPr>
        <w:t xml:space="preserve">nine</w:t>
      </w:r>
      <w:r>
        <w:rPr/>
        <w:t xml:space="preserve">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w:t>
      </w:r>
      <w:r>
        <w:rPr>
          <w:u w:val="single"/>
        </w:rPr>
        <w:t xml:space="preserve">(i)</w:t>
      </w:r>
      <w:r>
        <w:rPr/>
        <w:t xml:space="preserv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u w:val="single"/>
        </w:rPr>
        <w:t xml:space="preserve">(ii)</w:t>
      </w:r>
      <w:r>
        <w:rPr/>
        <w:t xml:space="preserve"> If the department </w:t>
      </w:r>
      <w:r>
        <w:t>((</w:t>
      </w:r>
      <w:r>
        <w:rPr>
          <w:strike/>
        </w:rPr>
        <w:t xml:space="preserve">determines</w:t>
      </w:r>
      <w:r>
        <w:t>))</w:t>
      </w:r>
      <w:r>
        <w:rPr/>
        <w:t xml:space="preserve"> </w:t>
      </w:r>
      <w:r>
        <w:rPr>
          <w:u w:val="single"/>
        </w:rPr>
        <w:t xml:space="preserve">establishes, by clear, cogent, and convincing evidence,</w:t>
      </w:r>
      <w:r>
        <w:rPr/>
        <w:t xml:space="preserve"> that </w:t>
      </w:r>
      <w:r>
        <w:t>((</w:t>
      </w:r>
      <w:r>
        <w:rPr>
          <w:strike/>
        </w:rPr>
        <w:t xml:space="preserve">a person</w:t>
      </w:r>
      <w:r>
        <w:t>))</w:t>
      </w:r>
      <w:r>
        <w:rPr/>
        <w:t xml:space="preserve"> </w:t>
      </w:r>
      <w:r>
        <w:rPr>
          <w:u w:val="single"/>
        </w:rPr>
        <w:t xml:space="preserve">one or more members of an affiliated group</w:t>
      </w:r>
      <w:r>
        <w:rPr/>
        <w:t xml:space="preserve">,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w:t>
      </w:r>
      <w:r>
        <w:t>((</w:t>
      </w:r>
      <w:r>
        <w:rPr>
          <w:strike/>
        </w:rPr>
        <w:t xml:space="preserve">seven million dollar limitation in (b) of this subsection (4) does not apply to the person's affiliated group</w:t>
      </w:r>
      <w:r>
        <w:t>))</w:t>
      </w:r>
      <w:r>
        <w:rPr/>
        <w:t xml:space="preserve"> </w:t>
      </w:r>
      <w:r>
        <w:rPr>
          <w:u w:val="single"/>
        </w:rPr>
        <w:t xml:space="preserve">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r>
        <w:rPr/>
        <w:t xml:space="preserve">.</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w:t>
      </w:r>
      <w:r>
        <w:rPr>
          <w:u w:val="single"/>
        </w:rPr>
        <w:t xml:space="preserve">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1 through 3 of this act are necessary for the immediate preservation of the public peace, health, or safety, or support of the state government and its existing public institutions, and take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30, 2020.</w:t>
      </w:r>
    </w:p>
    <w:p>
      <w:pPr>
        <w:spacing w:before="0" w:after="0" w:line="408" w:lineRule="exact"/>
        <w:ind w:left="0" w:right="0" w:firstLine="576"/>
        <w:jc w:val="left"/>
      </w:pPr>
      <w:r>
        <w:rPr/>
        <w:t xml:space="preserve">Passed by the House February 6, 2020.</w:t>
      </w:r>
    </w:p>
    <w:p>
      <w:pPr>
        <w:spacing w:before="0" w:after="0" w:line="408" w:lineRule="exact"/>
        <w:ind w:left="0" w:right="0" w:firstLine="576"/>
        <w:jc w:val="left"/>
      </w:pPr>
      <w:r>
        <w:rPr/>
        <w:t xml:space="preserve">Approved by the Governor February 10, 2020.</w:t>
      </w:r>
    </w:p>
    <w:p>
      <w:pPr>
        <w:spacing w:before="0" w:after="0" w:line="408" w:lineRule="exact"/>
        <w:ind w:left="0" w:right="0" w:firstLine="576"/>
        <w:jc w:val="left"/>
      </w:pPr>
      <w:r>
        <w:rPr/>
        <w:t xml:space="preserve">Filed in Office of Secretary of State February 10, 2020.</w:t>
      </w:r>
    </w:p>
    <w:sectPr>
      <w:pgNumType w:start="1"/>
      <w:footerReference xmlns:r="http://schemas.openxmlformats.org/officeDocument/2006/relationships" r:id="Ra5b7d730163949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0855d123243cb" /><Relationship Type="http://schemas.openxmlformats.org/officeDocument/2006/relationships/footer" Target="/word/footer1.xml" Id="Ra5b7d730163949ec" /></Relationships>
</file>