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84a6262b2d741f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6663</w:t>
      </w:r>
    </w:p>
    <w:p>
      <w:pPr>
        <w:jc w:val="center"/>
        <w:spacing w:before="480" w:after="0" w:line="240"/>
      </w:pPr>
      <w:r>
        <w:t xml:space="preserve">Chapter </w:t>
      </w:r>
      <w:r>
        <w:rPr/>
        <w:t xml:space="preserve">267</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EATING DISORDERS AND DIABETES MELLITUS TYPE 1--WEB SITE LINKS</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18, 2020</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2020</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6663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31, 2020 11:29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31,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6663</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Ways &amp; Means (originally sponsored by Senators Brown, Becker, and Walsh)</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dual diagnoses of eating disorder and diabetes mellitus type 1;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Research indicates a higher prevalence of eating disorders among people with diabetes, as compared to their peers without diabetes. Eating disorders and disordered eating behaviors, especially insulin omission, are associated with poorer glycemic control and serious risk for increased morbidity and mortality.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December 1, 2020, the department of health shall make available on its web site links to existing information related to the condition commonly known as "diabulimia," an eating disorder associated with individuals with type 1 diabetes.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shall be known and may be cited as Alyssa's law. </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18, 2020.</w:t>
      </w:r>
    </w:p>
    <w:p>
      <w:pPr>
        <w:spacing w:before="0" w:after="0" w:line="408" w:lineRule="exact"/>
        <w:ind w:left="0" w:right="0" w:firstLine="576"/>
        <w:jc w:val="left"/>
      </w:pPr>
      <w:r>
        <w:rPr/>
        <w:t xml:space="preserve">Passed by the House March 4, 2020.</w:t>
      </w:r>
    </w:p>
    <w:p>
      <w:pPr>
        <w:spacing w:before="0" w:after="0" w:line="408" w:lineRule="exact"/>
        <w:ind w:left="0" w:right="0" w:firstLine="576"/>
        <w:jc w:val="left"/>
      </w:pPr>
      <w:r>
        <w:rPr/>
        <w:t xml:space="preserve">Approved by the Governor March 31, 2020.</w:t>
      </w:r>
    </w:p>
    <w:p>
      <w:pPr>
        <w:spacing w:before="0" w:after="0" w:line="408" w:lineRule="exact"/>
        <w:ind w:left="0" w:right="0" w:firstLine="576"/>
        <w:jc w:val="left"/>
      </w:pPr>
      <w:r>
        <w:rPr/>
        <w:t xml:space="preserve">Filed in Office of Secretary of State March 31, 2020.</w:t>
      </w:r>
    </w:p>
    <w:sectPr>
      <w:pgNumType w:start="1"/>
      <w:footerReference xmlns:r="http://schemas.openxmlformats.org/officeDocument/2006/relationships" r:id="Rab98fb1eddd54ac1"/>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6663.SL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a911ad5b6e46a3" /><Relationship Type="http://schemas.openxmlformats.org/officeDocument/2006/relationships/footer" Target="/word/footer1.xml" Id="Rab98fb1eddd54ac1" /></Relationships>
</file>