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d84b4f6edc42bb" /></Relationships>
</file>

<file path=word/document.xml><?xml version="1.0" encoding="utf-8"?>
<w:document xmlns:w="http://schemas.openxmlformats.org/wordprocessingml/2006/main">
  <w:body>
    <w:p>
      <w:r>
        <w:rPr>
          <w:b/>
        </w:rPr>
        <w:r>
          <w:rPr/>
          <w:t xml:space="preserve">1050-S2</w:t>
        </w:r>
      </w:r>
      <w:r>
        <w:rPr>
          <w:b/>
        </w:rPr>
        <w:t xml:space="preserve"> </w:t>
        <w:t xml:space="preserve">AMH</w:t>
      </w:r>
      <w:r>
        <w:rPr>
          <w:b/>
        </w:rPr>
        <w:t xml:space="preserve"> </w:t>
        <w:r>
          <w:rPr/>
          <w:t xml:space="preserve">FITZ</w:t>
        </w:r>
      </w:r>
      <w:r>
        <w:rPr>
          <w:b/>
        </w:rPr>
        <w:t xml:space="preserve"> </w:t>
        <w:r>
          <w:rPr/>
          <w:t xml:space="preserve">H1067.1</w:t>
        </w:r>
      </w:r>
      <w:r>
        <w:rPr>
          <w:b/>
        </w:rPr>
        <w:t xml:space="preserve"> - NOT FOR FLOOR USE</w:t>
      </w:r>
    </w:p>
    <w:p>
      <w:pPr>
        <w:ind w:left="0" w:right="0" w:firstLine="576"/>
      </w:pPr>
    </w:p>
    <w:p>
      <w:pPr>
        <w:spacing w:before="480" w:after="0" w:line="408" w:lineRule="exact"/>
      </w:pPr>
      <w:r>
        <w:rPr>
          <w:b/>
          <w:u w:val="single"/>
        </w:rPr>
        <w:t xml:space="preserve">2SHB 1050</w:t>
      </w:r>
      <w:r>
        <w:t xml:space="preserve"> -</w:t>
      </w:r>
      <w:r>
        <w:t xml:space="preserve"> </w:t>
        <w:t xml:space="preserve">H AMD</w:t>
      </w:r>
      <w:r>
        <w:t xml:space="preserve"> </w:t>
      </w:r>
      <w:r>
        <w:rPr>
          <w:b/>
        </w:rPr>
        <w:t xml:space="preserve">63</w:t>
      </w:r>
    </w:p>
    <w:p>
      <w:pPr>
        <w:spacing w:before="0" w:after="0" w:line="408" w:lineRule="exact"/>
        <w:ind w:left="0" w:right="0" w:firstLine="576"/>
        <w:jc w:val="left"/>
      </w:pPr>
      <w:r>
        <w:rPr/>
        <w:t xml:space="preserve">By Representative Fitzgibbon</w:t>
      </w:r>
    </w:p>
    <w:p>
      <w:pPr>
        <w:jc w:val="right"/>
      </w:pPr>
      <w:r>
        <w:rPr>
          <w:b/>
        </w:rPr>
        <w:t xml:space="preserve">ADOPTED 02/23/2021</w:t>
      </w:r>
    </w:p>
    <w:p>
      <w:pPr>
        <w:spacing w:before="0" w:after="0" w:line="408" w:lineRule="exact"/>
        <w:ind w:left="0" w:right="0" w:firstLine="576"/>
        <w:jc w:val="left"/>
      </w:pPr>
      <w:r>
        <w:rPr/>
        <w:t xml:space="preserve">On page 23, beginning on line 12, after "</w:t>
      </w:r>
      <w:r>
        <w:rPr>
          <w:u w:val="single"/>
        </w:rPr>
        <w:t xml:space="preserve">(f)</w:t>
      </w:r>
      <w:r>
        <w:rPr/>
        <w:t xml:space="preserve">" strike all material through "</w:t>
      </w:r>
      <w:r>
        <w:rPr>
          <w:u w:val="single"/>
        </w:rPr>
        <w:t xml:space="preserve">750</w:t>
      </w:r>
      <w:r>
        <w:rPr/>
        <w:t xml:space="preserve">" on line 17 and insert "</w:t>
      </w:r>
      <w:r>
        <w:rPr>
          <w:u w:val="single"/>
        </w:rPr>
        <w:t xml:space="preserve">In addition to the requirements of RCW 19.280.030(3), in assessing the cost-effective conservation required under this section, a qualifying utility is encouraged to promote the adoption of air conditioning, as defined in section 2 of this act, with refrigerants not exceeding a global warming potential of 750 and the replacement of stationary refrigeration systems that contain ozone-depleting substances or hydrofluorocarbon refrigerants with a high global warming potential</w:t>
      </w:r>
      <w:r>
        <w:rPr/>
        <w:t xml:space="preserve">"</w:t>
      </w:r>
    </w:p>
    <w:p>
      <w:pPr>
        <w:spacing w:before="0" w:after="0" w:line="408" w:lineRule="exact"/>
        <w:ind w:left="0" w:right="0" w:firstLine="576"/>
        <w:jc w:val="left"/>
      </w:pPr>
      <w:r>
        <w:rPr>
          <w:u w:val="single"/>
        </w:rPr>
        <w:t xml:space="preserve">EFFECT:</w:t>
      </w:r>
      <w:r>
        <w:rPr/>
        <w:t xml:space="preserve"> Encourages electric utility conservation programs to promote the adoption of air conditioning, including chillers and heat pumps, with refrigerants with a global warming potential of less than 750, and the replacement of stationary refrigeration systems with ozone-depleting substances or hydrofluorocarbon refrigerants with a high global warming potential. Specifies that these encouraged actions are in addition to existing requirements that electric utility conservation policies, programs, and targets incorporate the social cost of greenhouse gas emissions as a cost adder.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31c46d720e45ae" /></Relationships>
</file>