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dbeb2263b469c" /></Relationships>
</file>

<file path=word/document.xml><?xml version="1.0" encoding="utf-8"?>
<w:document xmlns:w="http://schemas.openxmlformats.org/wordprocessingml/2006/main">
  <w:body>
    <w:p>
      <w:r>
        <w:rPr>
          <w:b/>
        </w:rPr>
        <w:r>
          <w:rPr/>
          <w:t xml:space="preserve">1099-S2.E</w:t>
        </w:r>
      </w:r>
      <w:r>
        <w:rPr>
          <w:b/>
        </w:rPr>
        <w:t xml:space="preserve"> </w:t>
        <w:t xml:space="preserve">AMC</w:t>
      </w:r>
      <w:r>
        <w:rPr>
          <w:b/>
        </w:rPr>
        <w:t xml:space="preserve"> </w:t>
        <w:r>
          <w:rPr/>
          <w:t xml:space="preserve">CONF</w:t>
        </w:r>
      </w:r>
      <w:r>
        <w:rPr>
          <w:b/>
        </w:rPr>
        <w:t xml:space="preserve"> </w:t>
        <w:r>
          <w:rPr/>
          <w:t xml:space="preserve">S5423.1</w:t>
        </w:r>
      </w:r>
      <w:r>
        <w:rPr>
          <w:b/>
        </w:rPr>
        <w:t xml:space="preserve"> - NOT FOR FLOOR USE</w:t>
      </w:r>
    </w:p>
    <w:p>
      <w:pPr>
        <w:ind w:left="0" w:right="0" w:firstLine="576"/>
      </w:pPr>
    </w:p>
    <w:p>
      <w:pPr>
        <w:spacing w:before="480" w:after="0" w:line="408" w:lineRule="exact"/>
      </w:pPr>
      <w:r>
        <w:rPr>
          <w:b/>
          <w:u w:val="single"/>
        </w:rPr>
        <w:t xml:space="preserve">E2SHB 1099</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greenspaces</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reducing residential development pressure in the wildland urban interface area, creating open space buffers between human development and wildfire-prone landscapes, and protecting existing residential development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telecommunication</w:t>
      </w:r>
      <w:r>
        <w:rPr>
          <w:u w:val="single"/>
        </w:rPr>
        <w:t xml:space="preserve">s</w:t>
      </w:r>
      <w:r>
        <w:rPr/>
        <w:t xml:space="preserve"> </w:t>
      </w:r>
      <w:r>
        <w:t>((</w:t>
      </w:r>
      <w:r>
        <w:rPr>
          <w:strike/>
        </w:rPr>
        <w:t xml:space="preserve">lines</w:t>
      </w:r>
      <w:r>
        <w:t>))</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active transportation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w:t>
      </w:r>
      <w:r>
        <w:rPr>
          <w:u w:val="single"/>
        </w:rPr>
        <w:t xml:space="preserve">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(a)(i)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 and</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in overburdened communities in order to maximize the cobenefits of reduced air pollution and environmental justice consistent with chapter 70A.02 RCW.</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to be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(9)(a).</w:t>
      </w:r>
    </w:p>
    <w:p>
      <w:pPr>
        <w:spacing w:before="0" w:after="0" w:line="408" w:lineRule="exact"/>
        <w:ind w:left="0" w:right="0" w:firstLine="576"/>
        <w:jc w:val="left"/>
      </w:pPr>
      <w:r>
        <w:rPr>
          <w:u w:val="single"/>
        </w:rPr>
        <w:t xml:space="preserve">(iv)(A)(I) Until December 31, 2034, actions not specifically identified in the guidelines developed by the department pursuant to section 5 of this act, or considered to be consistent with those guidelines according to the process established in (a)(ii) of this subsection (9), must still be considered to be sufficient to meet the requirements of the greenhouse gas emissions reduction subelement and must be approved by the department pursuant to section 5 of this act, if the actions provide for the authorization of the development of middle housing types within one-quarter mile of major transit stops within urban growth areas.</w:t>
      </w:r>
    </w:p>
    <w:p>
      <w:pPr>
        <w:spacing w:before="0" w:after="0" w:line="408" w:lineRule="exact"/>
        <w:ind w:left="0" w:right="0" w:firstLine="576"/>
        <w:jc w:val="left"/>
      </w:pPr>
      <w:r>
        <w:rPr>
          <w:u w:val="single"/>
        </w:rPr>
        <w:t xml:space="preserve">(II) A city planning under RCW 36.70A.040 may be considered to be consistent with the guidelines of this subsection (9)(a)(iv) if:</w:t>
      </w:r>
    </w:p>
    <w:p>
      <w:pPr>
        <w:spacing w:before="0" w:after="0" w:line="408" w:lineRule="exact"/>
        <w:ind w:left="0" w:right="0" w:firstLine="576"/>
        <w:jc w:val="left"/>
      </w:pPr>
      <w:r>
        <w:rPr>
          <w:u w:val="single"/>
        </w:rPr>
        <w:t xml:space="preserve">(1) The jurisdiction authorizes the development of no fewer than four residential units on all lots zoned for residential use within one-quarter mile of a major transit stop; or</w:t>
      </w:r>
    </w:p>
    <w:p>
      <w:pPr>
        <w:spacing w:before="0" w:after="0" w:line="408" w:lineRule="exact"/>
        <w:ind w:left="0" w:right="0" w:firstLine="576"/>
        <w:jc w:val="left"/>
      </w:pPr>
      <w:r>
        <w:rPr>
          <w:u w:val="single"/>
        </w:rPr>
        <w:t xml:space="preserve">(2) The jurisdiction alters local zoning to allow for an average minimum net density equivalent to no less than 33 dwelling units per acre within one-quarter mile of a major transit stop.</w:t>
      </w:r>
    </w:p>
    <w:p>
      <w:pPr>
        <w:spacing w:before="0" w:after="0" w:line="408" w:lineRule="exact"/>
        <w:ind w:left="0" w:right="0" w:firstLine="576"/>
        <w:jc w:val="left"/>
      </w:pPr>
      <w:r>
        <w:rPr>
          <w:u w:val="single"/>
        </w:rPr>
        <w:t xml:space="preserve">(B) Nothing in this subsection (9)(a)(iv) prohibits the authorization of the development of single-family residences.</w:t>
      </w:r>
    </w:p>
    <w:p>
      <w:pPr>
        <w:spacing w:before="0" w:after="0" w:line="408" w:lineRule="exact"/>
        <w:ind w:left="0" w:right="0" w:firstLine="576"/>
        <w:jc w:val="left"/>
      </w:pPr>
      <w:r>
        <w:rPr>
          <w:u w:val="single"/>
        </w:rPr>
        <w:t xml:space="preserve">(b)(i)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overburdened communities as defined in chapter 70A.02 RCW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in overburdened communities as defined in RCW 70A.02.010, and that complies with the applicable requirements of this chapter, including the requirements set forth in this subsection (9)(b), may be adopted by reference to satisfy these requirements, except that to the extent any of the substantive requirements of this subsection (9)(b)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(9)(b).</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(9)(b), and the most recently adopted federal emergency management agency natural hazard mitigation plan does not comply with the requirements of this subsection (9)(b),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(c) For the jurisdictions set forth in section 4 of this act, updates to comprehensive plans and related development regulations made during the update cycle that begins in 2024 must adopt measures identified by the department pursuant to section 5 of this act that are likely to result in reductions of greenhouse gas emissions and per capita vehicle miles traveled.</w:t>
      </w:r>
    </w:p>
    <w:p>
      <w:pPr>
        <w:spacing w:before="0" w:after="0" w:line="408" w:lineRule="exact"/>
        <w:ind w:left="0" w:right="0" w:firstLine="576"/>
        <w:jc w:val="left"/>
      </w:pPr>
      <w:r>
        <w:rPr>
          <w:u w:val="single"/>
        </w:rPr>
        <w:t xml:space="preserve">(d) The adoption of ordinances, amendments to comprehensive plans, amendments to development regulations, and other nonproject actions taken by a county or city pursuant to (a) or (c)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36.70A.070(9) apply only to those counties that are required or that choose to plan under RCW 36.70A.040 and that also meet either of the criteria set forth in (a) or (b) of this subsection (1)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 or </w:t>
      </w:r>
    </w:p>
    <w:p>
      <w:pPr>
        <w:spacing w:before="0" w:after="0" w:line="408" w:lineRule="exact"/>
        <w:ind w:left="0" w:right="0" w:firstLine="576"/>
        <w:jc w:val="left"/>
      </w:pPr>
      <w:r>
        <w:rPr/>
        <w:t xml:space="preserve">(b) A county with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April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reductions in overburdened communities as defined in RCW 70A.02.010,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using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 as defined in RCW 70A.02.010.</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zoned housing capacity.</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zoned housing capacity.</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and middle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housing diversity and that assist counties and cities in meeting greenhouse gas emissions reduction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(3)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(4)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(5)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(6)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(7)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36.70A.070(9)(b),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t>((</w:t>
      </w:r>
      <w:r>
        <w:rPr>
          <w:strike/>
        </w:rPr>
        <w:t xml:space="preserve">and other relevant factors</w:t>
      </w:r>
      <w:r>
        <w:t>))</w:t>
      </w:r>
      <w:r>
        <w:rPr/>
        <w:t xml:space="preserve"> </w:t>
      </w:r>
      <w:r>
        <w:rPr>
          <w:u w:val="single"/>
        </w:rPr>
        <w:t xml:space="preserve">presence of overburdened communities, and other relevant factors. The department shall establish funding levels for grants to community-based organizations for the specific purpose of advancing participation of vulnerable populations and overburdened communities in the planning process</w:t>
      </w:r>
      <w:r>
        <w:rPr/>
        <w:t xml:space="preserve">.</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(a) or (c)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 of local governments to comply with the requirements established in: (a) The amendments to RCW 36.70A.070 set forth in this act; and (b) the updated shoreline master program guidelines adopted pursuant to section 10 of this act, is contingent on the provision of state funding to local governments for the specific purpose of complying with these requirements.</w:t>
      </w:r>
    </w:p>
    <w:p>
      <w:pPr>
        <w:spacing w:before="0" w:after="0" w:line="408" w:lineRule="exact"/>
        <w:ind w:left="0" w:right="0" w:firstLine="576"/>
        <w:jc w:val="left"/>
      </w:pPr>
      <w:r>
        <w:rPr/>
        <w:t xml:space="preserve">(2) The obligation of local governments to comply with the requirements established in: (a) The amendments to RCW 36.70A.070 set forth in this act; and (b) the updated shoreline master program guidelines adopted pursuant to section 10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built structures,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u w:val="single"/>
        </w:rPr>
        <w:t xml:space="preserve">(39) "Cottage housing" means at least four residential units on a lot with a common open space that is either:</w:t>
      </w:r>
    </w:p>
    <w:p>
      <w:pPr>
        <w:spacing w:before="0" w:after="0" w:line="408" w:lineRule="exact"/>
        <w:ind w:left="0" w:right="0" w:firstLine="576"/>
        <w:jc w:val="left"/>
      </w:pPr>
      <w:r>
        <w:rPr>
          <w:u w:val="single"/>
        </w:rPr>
        <w:t xml:space="preserve">(a) Owned in common; or</w:t>
      </w:r>
    </w:p>
    <w:p>
      <w:pPr>
        <w:spacing w:before="0" w:after="0" w:line="408" w:lineRule="exact"/>
        <w:ind w:left="0" w:right="0" w:firstLine="576"/>
        <w:jc w:val="left"/>
      </w:pPr>
      <w:r>
        <w:rPr>
          <w:u w:val="single"/>
        </w:rPr>
        <w:t xml:space="preserve">(b) Has units owned as condominium units with property owned in common and a minimum of 20 percent of the lot size as open space.</w:t>
      </w:r>
    </w:p>
    <w:p>
      <w:pPr>
        <w:spacing w:before="0" w:after="0" w:line="408" w:lineRule="exact"/>
        <w:ind w:left="0" w:right="0" w:firstLine="576"/>
        <w:jc w:val="left"/>
      </w:pPr>
      <w:r>
        <w:rPr>
          <w:u w:val="single"/>
        </w:rPr>
        <w:t xml:space="preserve">(40) "Courtyard apartments" means up to four attached dwelling units arranged on two or three sides of a central courtyard or lawn area.</w:t>
      </w:r>
    </w:p>
    <w:p>
      <w:pPr>
        <w:spacing w:before="0" w:after="0" w:line="408" w:lineRule="exact"/>
        <w:ind w:left="0" w:right="0" w:firstLine="576"/>
        <w:jc w:val="left"/>
      </w:pPr>
      <w:r>
        <w:rPr>
          <w:u w:val="single"/>
        </w:rPr>
        <w:t xml:space="preserve">(41)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including transitways;</w:t>
      </w:r>
    </w:p>
    <w:p>
      <w:pPr>
        <w:spacing w:before="0" w:after="0" w:line="408" w:lineRule="exact"/>
        <w:ind w:left="0" w:right="0" w:firstLine="576"/>
        <w:jc w:val="left"/>
      </w:pPr>
      <w:r>
        <w:rPr>
          <w:u w:val="single"/>
        </w:rPr>
        <w:t xml:space="preserve">(d) Stops on bus rapid transit routes or routes that run on high occupancy vehicle lanes;</w:t>
      </w:r>
    </w:p>
    <w:p>
      <w:pPr>
        <w:spacing w:before="0" w:after="0" w:line="408" w:lineRule="exact"/>
        <w:ind w:left="0" w:right="0" w:firstLine="576"/>
        <w:jc w:val="left"/>
      </w:pPr>
      <w:r>
        <w:rPr>
          <w:u w:val="single"/>
        </w:rPr>
        <w:t xml:space="preserve">(e) Stops for a bus or other transit mode providing actual fixed route service at intervals of at least 15 minutes for at least five hours during the peak hours of operation on weekdays; or</w:t>
      </w:r>
    </w:p>
    <w:p>
      <w:pPr>
        <w:spacing w:before="0" w:after="0" w:line="408" w:lineRule="exact"/>
        <w:ind w:left="0" w:right="0" w:firstLine="576"/>
        <w:jc w:val="left"/>
      </w:pPr>
      <w:r>
        <w:rPr>
          <w:u w:val="single"/>
        </w:rPr>
        <w:t xml:space="preserve">(f) Washington state ferry terminals.</w:t>
      </w:r>
    </w:p>
    <w:p>
      <w:pPr>
        <w:spacing w:before="0" w:after="0" w:line="408" w:lineRule="exact"/>
        <w:ind w:left="0" w:right="0" w:firstLine="576"/>
        <w:jc w:val="left"/>
      </w:pPr>
      <w:r>
        <w:rPr>
          <w:u w:val="single"/>
        </w:rPr>
        <w:t xml:space="preserve">(42) "Middle housing" means duplexes, triplexes, fourplexes, attached and detached accessory dwelling units, cottage housing, stacked flats, townhouses, and courtyard apartments.</w:t>
      </w:r>
    </w:p>
    <w:p>
      <w:pPr>
        <w:spacing w:before="0" w:after="0" w:line="408" w:lineRule="exact"/>
        <w:ind w:left="0" w:right="0" w:firstLine="576"/>
        <w:jc w:val="left"/>
      </w:pPr>
      <w:r>
        <w:rPr>
          <w:u w:val="single"/>
        </w:rPr>
        <w:t xml:space="preserve">(43) "Stacked flat" means dwelling units in a two or three story residential building on a residential zoned lot in which each floor may be separately rented or owned and is a discrete dwelling unit.</w:t>
      </w:r>
    </w:p>
    <w:p>
      <w:pPr>
        <w:spacing w:before="0" w:after="0" w:line="408" w:lineRule="exact"/>
        <w:ind w:left="0" w:right="0" w:firstLine="576"/>
        <w:jc w:val="left"/>
      </w:pPr>
      <w:r>
        <w:rPr>
          <w:u w:val="single"/>
        </w:rPr>
        <w:t xml:space="preserve">(44) "Townhouses" means dwelling units constructed in a row of two or more attached units, where each dwelling unit is located on an individual lot or parcel and shares at least one common wall with an adjacent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within counties planning under RCW 36.70A.215 and those counties may establish one or more real estate excise tax density incentive zones. A real estate excise tax density incentive zone is an area within an urban growth area where the city or county adopts zoning and development regulations to increase housing supply by allowing construction of additional housing types as outright permitted uses. Creation of a real estate excise tax density incentive zone enables the local government to receive a portion of the tax imposed under chapter 82.45 RCW for sales of qualified residential dwelling units within the zone.</w:t>
      </w:r>
    </w:p>
    <w:p>
      <w:pPr>
        <w:spacing w:before="0" w:after="0" w:line="408" w:lineRule="exact"/>
        <w:ind w:left="0" w:right="0" w:firstLine="576"/>
        <w:jc w:val="left"/>
      </w:pPr>
      <w:r>
        <w:rPr/>
        <w:t xml:space="preserve">(2) A real estate excise tax density incentive zone may only be located within a designated urban growth area, and must allow the following housing types: Single-family detached dwellings at a net density of at least six dwelling units per acre, duplexes, triplexes, fourplexes, townhomes, accessory dwelling units, and courtyard apartments.</w:t>
      </w:r>
    </w:p>
    <w:p>
      <w:pPr>
        <w:spacing w:before="0" w:after="0" w:line="408" w:lineRule="exact"/>
        <w:ind w:left="0" w:right="0" w:firstLine="576"/>
        <w:jc w:val="left"/>
      </w:pPr>
      <w:r>
        <w:rPr/>
        <w:t xml:space="preserve">(3) A real estate excise tax density incentive zone may also allow as outright permitted uses housing types and densities that exceed the minimum requirements in subsection (2) of this section.</w:t>
      </w:r>
    </w:p>
    <w:p>
      <w:pPr>
        <w:spacing w:before="0" w:after="0" w:line="408" w:lineRule="exact"/>
        <w:ind w:left="0" w:right="0" w:firstLine="576"/>
        <w:jc w:val="left"/>
      </w:pPr>
      <w:r>
        <w:rPr/>
        <w:t xml:space="preserve">(4)(a) Additional dwelling units must be in addition to the baseline density under existing zoning to implement the housing element in RCW 36.70A.070.</w:t>
      </w:r>
    </w:p>
    <w:p>
      <w:pPr>
        <w:spacing w:before="0" w:after="0" w:line="408" w:lineRule="exact"/>
        <w:ind w:left="0" w:right="0" w:firstLine="576"/>
        <w:jc w:val="left"/>
      </w:pPr>
      <w:r>
        <w:rPr/>
        <w:t xml:space="preserve">(b) For the purposes of this section, a "qualified residential dwelling" is either an individual residential dwelling unit or a residential building of two or more dwelling units constructed within a real estate excise tax density incentive zone that achieves a net increase in the total number of residential dwelling units compared to the maximum number of residential dwelling units that could have been built prior to the adoption of zoning and development regulations creating the real estate excise tax density incentive zone. To be included as qualified residential dwelling units, the units must be restricted from being offered as short-term rentals for more than 30 days a year for the first 15 years after construction. The county or city shall determine within their respective jurisdictions how the residential dwelling units shall be restricted from being short-term rentals.</w:t>
      </w:r>
    </w:p>
    <w:p>
      <w:pPr>
        <w:spacing w:before="0" w:after="0" w:line="408" w:lineRule="exact"/>
        <w:ind w:left="0" w:right="0" w:firstLine="576"/>
        <w:jc w:val="left"/>
      </w:pPr>
      <w:r>
        <w:rPr/>
        <w:t xml:space="preserve">(c) If the qualified residential dwelling has two or more dwelling units, the amount distributed to the local government under RCW 82.45.060(4)(c) shall be reduced by the percent attributable to the number of new dwelling units within the building that could have been built under the zoning and development regulations that existed prior to the creation of the local real estate excise tax density incentive zone.</w:t>
      </w:r>
    </w:p>
    <w:p>
      <w:pPr>
        <w:spacing w:before="0" w:after="0" w:line="408" w:lineRule="exact"/>
        <w:ind w:left="0" w:right="0" w:firstLine="576"/>
        <w:jc w:val="left"/>
      </w:pPr>
      <w:r>
        <w:rPr/>
        <w:t xml:space="preserve">(5) A sale that does not involve a net increase above the maximum number of residential dwelling units that could have been constructed as an outright permitted use, prior to the creation of the real estate excise tax density incentive zone, is not a sale of a qualified residential dwelling unit.</w:t>
      </w:r>
    </w:p>
    <w:p>
      <w:pPr>
        <w:spacing w:before="0" w:after="0" w:line="408" w:lineRule="exact"/>
        <w:ind w:left="0" w:right="0" w:firstLine="576"/>
        <w:jc w:val="left"/>
      </w:pPr>
      <w:r>
        <w:rPr/>
        <w:t xml:space="preserve">(6) A real estate excise tax density incentive zone may be established for areas where a city or county previously enacted zoning and development regulations meeting the minimum requirements in this section, but not prior to January 1, 2017. A real estate excise tax density incentive zone may not be established later than one year after the date by which a city or county is required to update its growth management comprehensive plan under RCW 36.70A.130. Once a real estate excise tax density incentive zone is established in compliance with this section, a qualified residential dwelling unit may be constructed at any time.</w:t>
      </w:r>
    </w:p>
    <w:p>
      <w:pPr>
        <w:spacing w:before="0" w:after="0" w:line="408" w:lineRule="exact"/>
        <w:ind w:left="0" w:right="0" w:firstLine="576"/>
        <w:jc w:val="left"/>
      </w:pPr>
      <w:r>
        <w:rPr/>
        <w:t xml:space="preserve">(7)(a) Prior to establishing a real estate excise tax density incentive zone, the city or county must:</w:t>
      </w:r>
    </w:p>
    <w:p>
      <w:pPr>
        <w:spacing w:before="0" w:after="0" w:line="408" w:lineRule="exact"/>
        <w:ind w:left="0" w:right="0" w:firstLine="576"/>
        <w:jc w:val="left"/>
      </w:pPr>
      <w:r>
        <w:rPr/>
        <w:t xml:space="preserve">(i) Consider the race and income of existing residents within the area and the adjacent neighborhoods to be designated;</w:t>
      </w:r>
    </w:p>
    <w:p>
      <w:pPr>
        <w:spacing w:before="0" w:after="0" w:line="408" w:lineRule="exact"/>
        <w:ind w:left="0" w:right="0" w:firstLine="576"/>
        <w:jc w:val="left"/>
      </w:pPr>
      <w:r>
        <w:rPr/>
        <w:t xml:space="preserve">(ii) Consider displacement impacts of low, very low, and extremely low-income residents within the area and the adjacent neighborhoods to be designated; and</w:t>
      </w:r>
    </w:p>
    <w:p>
      <w:pPr>
        <w:spacing w:before="0" w:after="0" w:line="408" w:lineRule="exact"/>
        <w:ind w:left="0" w:right="0" w:firstLine="576"/>
        <w:jc w:val="left"/>
      </w:pPr>
      <w:r>
        <w:rPr/>
        <w:t xml:space="preserve">(iii) Assess the need for antidisplacement policies for high-risk communities within designated areas and the adjacent neighborhoods, and make the assessment publicly available.</w:t>
      </w:r>
    </w:p>
    <w:p>
      <w:pPr>
        <w:spacing w:before="0" w:after="0" w:line="408" w:lineRule="exact"/>
        <w:ind w:left="0" w:right="0" w:firstLine="576"/>
        <w:jc w:val="left"/>
      </w:pPr>
      <w:r>
        <w:rPr/>
        <w:t xml:space="preserve">(b) A local jurisdiction may use the requirements of RCW 36.70A.070(2) (e) through (h) to satisfy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five hundred thousand dollars;</w:t>
      </w:r>
    </w:p>
    <w:p>
      <w:pPr>
        <w:spacing w:before="0" w:after="0" w:line="408" w:lineRule="exact"/>
        <w:ind w:left="0" w:right="0" w:firstLine="576"/>
        <w:jc w:val="left"/>
      </w:pPr>
      <w:r>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t xml:space="preserve">(iv) Three percent of the portion of the selling price that is greater than three million dollars.</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w:t>
      </w:r>
      <w:r>
        <w:rPr>
          <w:u w:val="single"/>
        </w:rPr>
        <w:t xml:space="preserve">except as provided under (c) of this subsection (4),</w:t>
      </w:r>
      <w:r>
        <w:rPr/>
        <w:t xml:space="preserve"> amounts collected from the tax imposed under this section must be deposited as provided in RCW 82.45.230</w:t>
      </w:r>
      <w:r>
        <w:rPr>
          <w:u w:val="single"/>
        </w:rPr>
        <w:t xml:space="preserve">.</w:t>
      </w:r>
    </w:p>
    <w:p>
      <w:pPr>
        <w:spacing w:before="0" w:after="0" w:line="408" w:lineRule="exact"/>
        <w:ind w:left="0" w:right="0" w:firstLine="576"/>
        <w:jc w:val="left"/>
      </w:pPr>
      <w:r>
        <w:rPr>
          <w:u w:val="single"/>
        </w:rPr>
        <w:t xml:space="preserve">(c) Beginning July 1, 2023, the amounts collected on the sale of a qualified residential dwelling constructed within a real estate excise tax density incentive zone created under section 15 of this act shall be distributed to a city or county as follows:</w:t>
      </w:r>
    </w:p>
    <w:p>
      <w:pPr>
        <w:spacing w:before="0" w:after="0" w:line="408" w:lineRule="exact"/>
        <w:ind w:left="0" w:right="0" w:firstLine="576"/>
        <w:jc w:val="left"/>
      </w:pPr>
      <w:r>
        <w:rPr>
          <w:u w:val="single"/>
        </w:rPr>
        <w:t xml:space="preserve">(i) For a qualified residential dwelling unit located less than or equal to .25 miles, as measured by direct distance, from a major transit stop as defined in RCW 36.70A.030, 50 percent of the amounts collected to the city or county where the dwelling is located;</w:t>
      </w:r>
    </w:p>
    <w:p>
      <w:pPr>
        <w:spacing w:before="0" w:after="0" w:line="408" w:lineRule="exact"/>
        <w:ind w:left="0" w:right="0" w:firstLine="576"/>
        <w:jc w:val="left"/>
      </w:pPr>
      <w:r>
        <w:rPr>
          <w:u w:val="single"/>
        </w:rPr>
        <w:t xml:space="preserve">(ii) For a qualified residential dwelling unit located more than .25 miles, as measured by direct distance, from a major transit stop as defined in RCW 36.70A.030, 25 percent of the amounts collected to the city or county where the dwelling is located;</w:t>
      </w:r>
    </w:p>
    <w:p>
      <w:pPr>
        <w:spacing w:before="0" w:after="0" w:line="408" w:lineRule="exact"/>
        <w:ind w:left="0" w:right="0" w:firstLine="576"/>
        <w:jc w:val="left"/>
      </w:pPr>
      <w:r>
        <w:rPr>
          <w:u w:val="single"/>
        </w:rPr>
        <w:t xml:space="preserve">(iii) If any portion of the qualified residential dwelling unit is located less than or equal to .25 miles, as measured by direct distance, from a major transit stop as defined in RCW 36.70A.030, the entire building qualifies for distribution pursuant to (c)(i) of this subsection (4).</w:t>
      </w:r>
    </w:p>
    <w:p>
      <w:pPr>
        <w:spacing w:before="0" w:after="0" w:line="408" w:lineRule="exact"/>
        <w:ind w:left="0" w:right="0" w:firstLine="576"/>
        <w:jc w:val="left"/>
      </w:pPr>
      <w:r>
        <w:rPr>
          <w:u w:val="single"/>
        </w:rPr>
        <w:t xml:space="preserve">(d) The distribution to a city or county under (c) of this subsection (4) applies to both the initial and all subsequent sales of a qualified residential dwelling unit if the residential dwelling unit continues to meet the original requirements of a qualified residential dwelling unit. Counties are required to revalidate that the residential dwelling unit continues to meet the original applicable requirements on each subsequent sale of the residential dwelling unit. The amounts distributed to a city and county may be used solely for:</w:t>
      </w:r>
    </w:p>
    <w:p>
      <w:pPr>
        <w:spacing w:before="0" w:after="0" w:line="408" w:lineRule="exact"/>
        <w:ind w:left="0" w:right="0" w:firstLine="576"/>
        <w:jc w:val="left"/>
      </w:pPr>
      <w:r>
        <w:rPr>
          <w:u w:val="single"/>
        </w:rPr>
        <w:t xml:space="preserve">(i) Implementation of the housing element in RCW 36.70A.070 as required by chapter 254 (Engrossed Second Substitute House Bill No. 1220), Laws of 2021;</w:t>
      </w:r>
    </w:p>
    <w:p>
      <w:pPr>
        <w:spacing w:before="0" w:after="0" w:line="408" w:lineRule="exact"/>
        <w:ind w:left="0" w:right="0" w:firstLine="576"/>
        <w:jc w:val="left"/>
      </w:pPr>
      <w:r>
        <w:rPr>
          <w:u w:val="single"/>
        </w:rPr>
        <w:t xml:space="preserve">(ii) Costs for infrastructure, construction, and service support for moderate, low, very low, and extremely low-income housing;</w:t>
      </w:r>
    </w:p>
    <w:p>
      <w:pPr>
        <w:spacing w:before="0" w:after="0" w:line="408" w:lineRule="exact"/>
        <w:ind w:left="0" w:right="0" w:firstLine="576"/>
        <w:jc w:val="left"/>
      </w:pPr>
      <w:r>
        <w:rPr>
          <w:u w:val="single"/>
        </w:rPr>
        <w:t xml:space="preserve">(iii) Construction of capital facilities that promote livable and walkable neighborhoods, such as neighborhood-scale parks, trails, or other recreational amenities; or</w:t>
      </w:r>
    </w:p>
    <w:p>
      <w:pPr>
        <w:spacing w:before="0" w:after="0" w:line="408" w:lineRule="exact"/>
        <w:ind w:left="0" w:right="0" w:firstLine="576"/>
        <w:jc w:val="left"/>
      </w:pPr>
      <w:r>
        <w:rPr>
          <w:u w:val="single"/>
        </w:rPr>
        <w:t xml:space="preserve">(iv) Creation of permanently affordable homeownership, which means housing that is:</w:t>
      </w:r>
    </w:p>
    <w:p>
      <w:pPr>
        <w:spacing w:before="0" w:after="0" w:line="408" w:lineRule="exact"/>
        <w:ind w:left="0" w:right="0" w:firstLine="576"/>
        <w:jc w:val="left"/>
      </w:pPr>
      <w:r>
        <w:rPr>
          <w:u w:val="single"/>
        </w:rPr>
        <w:t xml:space="preserve">(A) Sponsored by a nonprofit organization or governmental entity; and</w:t>
      </w:r>
    </w:p>
    <w:p>
      <w:pPr>
        <w:spacing w:before="0" w:after="0" w:line="408" w:lineRule="exact"/>
        <w:ind w:left="0" w:right="0" w:firstLine="576"/>
        <w:jc w:val="left"/>
      </w:pPr>
      <w:r>
        <w:rPr>
          <w:u w:val="single"/>
        </w:rPr>
        <w:t xml:space="preserve">(B) Subject to a ground lease or deed restriction that includes:</w:t>
      </w:r>
    </w:p>
    <w:p>
      <w:pPr>
        <w:spacing w:before="0" w:after="0" w:line="408" w:lineRule="exact"/>
        <w:ind w:left="0" w:right="0" w:firstLine="576"/>
        <w:jc w:val="left"/>
      </w:pPr>
      <w:r>
        <w:rPr>
          <w:u w:val="single"/>
        </w:rPr>
        <w:t xml:space="preserve">(I) A resale restriction designed to provide affordability for future low and moderate-income home buyers;</w:t>
      </w:r>
    </w:p>
    <w:p>
      <w:pPr>
        <w:spacing w:before="0" w:after="0" w:line="408" w:lineRule="exact"/>
        <w:ind w:left="0" w:right="0" w:firstLine="576"/>
        <w:jc w:val="left"/>
      </w:pPr>
      <w:r>
        <w:rPr>
          <w:u w:val="single"/>
        </w:rPr>
        <w:t xml:space="preserve">(II) A right of first refusal for the sponsor organization to purchase the home at resale; and</w:t>
      </w:r>
    </w:p>
    <w:p>
      <w:pPr>
        <w:spacing w:before="0" w:after="0" w:line="408" w:lineRule="exact"/>
        <w:ind w:left="0" w:right="0" w:firstLine="576"/>
        <w:jc w:val="left"/>
      </w:pPr>
      <w:r>
        <w:rPr>
          <w:u w:val="single"/>
        </w:rPr>
        <w:t xml:space="preserve">(III) A requirement that the sponsor must approve any refinancing, including home equity lines of credit; or</w:t>
      </w:r>
    </w:p>
    <w:p>
      <w:pPr>
        <w:spacing w:before="0" w:after="0" w:line="408" w:lineRule="exact"/>
        <w:ind w:left="0" w:right="0" w:firstLine="576"/>
        <w:jc w:val="left"/>
      </w:pPr>
      <w:r>
        <w:rPr>
          <w:u w:val="single"/>
        </w:rPr>
        <w:t xml:space="preserve">(C) Sponsored by a nonprofit organization or governmental entity and the sponsor organization:</w:t>
      </w:r>
    </w:p>
    <w:p>
      <w:pPr>
        <w:spacing w:before="0" w:after="0" w:line="408" w:lineRule="exact"/>
        <w:ind w:left="0" w:right="0" w:firstLine="576"/>
        <w:jc w:val="left"/>
      </w:pPr>
      <w:r>
        <w:rPr>
          <w:u w:val="single"/>
        </w:rPr>
        <w:t xml:space="preserve">(I) Executes a new ground lease or deed restriction with a duration of at least 99 years at the initial sale and with each successive sale; and</w:t>
      </w:r>
    </w:p>
    <w:p>
      <w:pPr>
        <w:spacing w:before="0" w:after="0" w:line="408" w:lineRule="exact"/>
        <w:ind w:left="0" w:right="0" w:firstLine="576"/>
        <w:jc w:val="left"/>
      </w:pPr>
      <w:r>
        <w:rPr>
          <w:u w:val="single"/>
        </w:rPr>
        <w:t xml:space="preserve">(II) Supports homeowners and enforces the ground lease or deed restriction.</w:t>
      </w:r>
    </w:p>
    <w:p>
      <w:pPr>
        <w:spacing w:before="0" w:after="0" w:line="408" w:lineRule="exact"/>
        <w:ind w:left="0" w:right="0" w:firstLine="576"/>
        <w:jc w:val="left"/>
      </w:pPr>
      <w:r>
        <w:rPr>
          <w:u w:val="single"/>
        </w:rPr>
        <w:t xml:space="preserve">(5)(a) Counties are required to validate and identify sales of qualified residential dwelling units within real estate excise tax density incentive zones, including any reduction in real estate excise tax distribution based on:</w:t>
      </w:r>
    </w:p>
    <w:p>
      <w:pPr>
        <w:spacing w:before="0" w:after="0" w:line="408" w:lineRule="exact"/>
        <w:ind w:left="0" w:right="0" w:firstLine="576"/>
        <w:jc w:val="left"/>
      </w:pPr>
      <w:r>
        <w:rPr>
          <w:u w:val="single"/>
        </w:rPr>
        <w:t xml:space="preserve">(i) The number of new dwelling units within the building that could have been built under prior zoning regulations compared to the number of new dwelling units built under the real estate excise tax density incentive zone pursuant to section 15(4)(c) of this act; and</w:t>
      </w:r>
    </w:p>
    <w:p>
      <w:pPr>
        <w:spacing w:before="0" w:after="0" w:line="408" w:lineRule="exact"/>
        <w:ind w:left="0" w:right="0" w:firstLine="576"/>
        <w:jc w:val="left"/>
      </w:pPr>
      <w:r>
        <w:rPr>
          <w:u w:val="single"/>
        </w:rPr>
        <w:t xml:space="preserve">(ii) The distance from a major transit stop as defined in RCW 36.70A.030 pursuant to subsection (4)(c) of this section.</w:t>
      </w:r>
    </w:p>
    <w:p>
      <w:pPr>
        <w:spacing w:before="0" w:after="0" w:line="408" w:lineRule="exact"/>
        <w:ind w:left="0" w:right="0" w:firstLine="576"/>
        <w:jc w:val="left"/>
      </w:pPr>
      <w:r>
        <w:rPr>
          <w:u w:val="single"/>
        </w:rPr>
        <w:t xml:space="preserve">(b) A county must provide the information required in (a) of this subsection to the department when the real estate excise tax affidavit is submitted to the department by the county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230</w:t>
      </w:r>
      <w:r>
        <w:rPr/>
        <w:t xml:space="preserve"> and 2019 c 424 s 2 are each amended to read as follows:</w:t>
      </w:r>
    </w:p>
    <w:p>
      <w:pPr>
        <w:spacing w:before="0" w:after="0" w:line="408" w:lineRule="exact"/>
        <w:ind w:left="0" w:right="0" w:firstLine="576"/>
        <w:jc w:val="left"/>
      </w:pPr>
      <w:r>
        <w:rPr/>
        <w:t xml:space="preserve">(1) 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t xml:space="preserve">(a) 1.7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educational legacy trust account created in RCW 83.100.230.</w:t>
      </w:r>
    </w:p>
    <w:p>
      <w:pPr>
        <w:spacing w:before="0" w:after="0" w:line="408" w:lineRule="exact"/>
        <w:ind w:left="0" w:right="0" w:firstLine="576"/>
        <w:jc w:val="left"/>
      </w:pPr>
      <w:r>
        <w:rPr/>
        <w:t xml:space="preserve">(2) Beginning July 1, 2023, and thereafter,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w:t>
      </w:r>
      <w:r>
        <w:rPr>
          <w:u w:val="single"/>
        </w:rPr>
        <w:t xml:space="preserve">less the percentage of any amounts distributed to a city or county under RCW 82.45.060</w:t>
      </w:r>
      <w:r>
        <w:rPr/>
        <w:t xml:space="preserve">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1099</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03/10/2022</w:t>
      </w:r>
    </w:p>
    <w:p>
      <w:pPr>
        <w:spacing w:before="0" w:after="0" w:line="408" w:lineRule="exact"/>
        <w:ind w:left="0" w:right="0" w:firstLine="576"/>
        <w:jc w:val="left"/>
      </w:pPr>
      <w:r>
        <w:rPr/>
        <w:t xml:space="preserve">On page 1, line 2 of the title, after "framework;" strike the remainder of the title and insert "amending RCW 36.70A.020, 36.70A.480, 36.70A.070, 36.70A.320, 36.70A.190, 86.12.200, 36.70A.030, 82.45.060, and 82.45.230; adding new sections to chapter 36.70A RCW; adding a new section to chapter 70A.45 RCW; adding a new section to chapter 47.80 RCW; adding a new section to chapter 90.58 RCW; adding a new section to chapter 43.21C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c216a31784604" /></Relationships>
</file>