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EB16AC" w14:paraId="41A74F9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E103D">
            <w:t>1186-S2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E103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E103D">
            <w:t>GOOD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E103D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E103D">
            <w:t>491</w:t>
          </w:r>
        </w:sdtContent>
      </w:sdt>
    </w:p>
    <w:p w:rsidR="00DF5D0E" w:rsidP="00B73E0A" w:rsidRDefault="00AA1230" w14:paraId="4AA4B90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16AC" w14:paraId="2C5B40B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E103D">
            <w:rPr>
              <w:b/>
              <w:u w:val="single"/>
            </w:rPr>
            <w:t>2SHB 1186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E103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234</w:t>
          </w:r>
        </w:sdtContent>
      </w:sdt>
    </w:p>
    <w:p w:rsidR="00DF5D0E" w:rsidP="00605C39" w:rsidRDefault="00EB16AC" w14:paraId="43CDCFD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E103D">
            <w:rPr>
              <w:sz w:val="22"/>
            </w:rPr>
            <w:t>By Representative Goodman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E103D" w14:paraId="49AC645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03/03/2021</w:t>
          </w:r>
        </w:p>
      </w:sdtContent>
    </w:sdt>
    <w:p w:rsidR="00424E56" w:rsidP="00424E56" w:rsidRDefault="00DE256E" w14:paraId="27011D26" w14:textId="00BC689A">
      <w:pPr>
        <w:pStyle w:val="Page"/>
      </w:pPr>
      <w:bookmarkStart w:name="StartOfAmendmentBody" w:id="0"/>
      <w:bookmarkEnd w:id="0"/>
      <w:permStart w:edGrp="everyone" w:id="251860562"/>
      <w:r>
        <w:tab/>
      </w:r>
      <w:r w:rsidR="00AE103D">
        <w:t xml:space="preserve">On page </w:t>
      </w:r>
      <w:r w:rsidR="007A76CE">
        <w:t>2, line 17, after "</w:t>
      </w:r>
      <w:r w:rsidR="007A76CE">
        <w:rPr>
          <w:u w:val="single"/>
        </w:rPr>
        <w:t>served</w:t>
      </w:r>
      <w:r w:rsidR="007A76CE">
        <w:t xml:space="preserve">" insert </w:t>
      </w:r>
      <w:r w:rsidRPr="007A76CE" w:rsidR="007A76CE">
        <w:t>"</w:t>
      </w:r>
      <w:r w:rsidRPr="007A76CE" w:rsidR="007A76CE">
        <w:rPr>
          <w:u w:val="single"/>
        </w:rPr>
        <w:t xml:space="preserve">, </w:t>
      </w:r>
      <w:r w:rsidR="007A76CE">
        <w:rPr>
          <w:u w:val="single"/>
        </w:rPr>
        <w:t>and no</w:t>
      </w:r>
      <w:r w:rsidRPr="007A76CE" w:rsidR="007A76CE">
        <w:rPr>
          <w:u w:val="single"/>
        </w:rPr>
        <w:t xml:space="preserve"> less than 15 weeks of total confinement</w:t>
      </w:r>
      <w:r w:rsidR="007A76CE">
        <w:rPr>
          <w:u w:val="single"/>
        </w:rPr>
        <w:t xml:space="preserve"> served</w:t>
      </w:r>
      <w:r w:rsidR="00E33C5F">
        <w:rPr>
          <w:u w:val="single"/>
        </w:rPr>
        <w:t xml:space="preserve"> including time spent in detention prior to </w:t>
      </w:r>
      <w:r w:rsidR="001E7E8D">
        <w:rPr>
          <w:u w:val="single"/>
        </w:rPr>
        <w:t xml:space="preserve">sentencing or </w:t>
      </w:r>
      <w:r w:rsidR="00265BF4">
        <w:rPr>
          <w:u w:val="single"/>
        </w:rPr>
        <w:t xml:space="preserve">the </w:t>
      </w:r>
      <w:r w:rsidR="00E33C5F">
        <w:rPr>
          <w:u w:val="single"/>
        </w:rPr>
        <w:t>entry of a dispositional order</w:t>
      </w:r>
      <w:r w:rsidR="007A76CE">
        <w:t>"</w:t>
      </w:r>
    </w:p>
    <w:p w:rsidR="00424E56" w:rsidP="00424E56" w:rsidRDefault="00424E56" w14:paraId="031BED82" w14:textId="61734F6B">
      <w:pPr>
        <w:pStyle w:val="RCWSLText"/>
      </w:pPr>
    </w:p>
    <w:p w:rsidR="00424E56" w:rsidP="00424E56" w:rsidRDefault="00424E56" w14:paraId="1FBAA8BF" w14:textId="7E5A2150">
      <w:pPr>
        <w:pStyle w:val="RCWSLText"/>
      </w:pPr>
      <w:r>
        <w:tab/>
        <w:t>On page 2, line 23, after "community." insert "</w:t>
      </w:r>
      <w:r w:rsidRPr="00424E56">
        <w:rPr>
          <w:u w:val="single"/>
        </w:rPr>
        <w:t xml:space="preserve">The </w:t>
      </w:r>
      <w:r w:rsidR="008E529A">
        <w:rPr>
          <w:u w:val="single"/>
        </w:rPr>
        <w:t xml:space="preserve">department's </w:t>
      </w:r>
      <w:r w:rsidRPr="00424E56">
        <w:rPr>
          <w:u w:val="single"/>
        </w:rPr>
        <w:t xml:space="preserve">determination </w:t>
      </w:r>
      <w:r w:rsidR="008E529A">
        <w:rPr>
          <w:u w:val="single"/>
        </w:rPr>
        <w:t>described</w:t>
      </w:r>
      <w:r w:rsidRPr="00424E56">
        <w:rPr>
          <w:u w:val="single"/>
        </w:rPr>
        <w:t xml:space="preserve"> under this subsection must include consideration of the person's behavior while in confinement and any disciplinary considerations.</w:t>
      </w:r>
      <w:r>
        <w:t>"</w:t>
      </w:r>
    </w:p>
    <w:p w:rsidR="004A0F2A" w:rsidP="00424E56" w:rsidRDefault="004A0F2A" w14:paraId="62BCE655" w14:textId="5E6A52E2">
      <w:pPr>
        <w:pStyle w:val="RCWSLText"/>
      </w:pPr>
    </w:p>
    <w:p w:rsidRPr="004A0F2A" w:rsidR="004A0F2A" w:rsidP="00424E56" w:rsidRDefault="004A0F2A" w14:paraId="2FFA8444" w14:textId="243DA906">
      <w:pPr>
        <w:pStyle w:val="RCWSLText"/>
        <w:rPr>
          <w:u w:val="single"/>
        </w:rPr>
      </w:pPr>
      <w:r>
        <w:tab/>
        <w:t>On page 3, line 14, after "</w:t>
      </w:r>
      <w:r w:rsidRPr="004A0F2A">
        <w:rPr>
          <w:u w:val="single"/>
        </w:rPr>
        <w:t>(b)</w:t>
      </w:r>
      <w:r w:rsidRPr="004A0F2A">
        <w:t xml:space="preserve">" </w:t>
      </w:r>
      <w:r>
        <w:t>insert "</w:t>
      </w:r>
      <w:r w:rsidRPr="004A0F2A">
        <w:rPr>
          <w:u w:val="single"/>
        </w:rPr>
        <w:t>Persons who will be transferred to</w:t>
      </w:r>
      <w:r>
        <w:rPr>
          <w:u w:val="single"/>
        </w:rPr>
        <w:t xml:space="preserve"> the department of corrections</w:t>
      </w:r>
      <w:r w:rsidR="00FF3DD9">
        <w:rPr>
          <w:u w:val="single"/>
        </w:rPr>
        <w:t>,</w:t>
      </w:r>
      <w:r>
        <w:rPr>
          <w:u w:val="single"/>
        </w:rPr>
        <w:t xml:space="preserve"> </w:t>
      </w:r>
      <w:r w:rsidRPr="004A0F2A">
        <w:rPr>
          <w:u w:val="single"/>
        </w:rPr>
        <w:t xml:space="preserve">who are </w:t>
      </w:r>
      <w:r>
        <w:rPr>
          <w:u w:val="single"/>
        </w:rPr>
        <w:t>in</w:t>
      </w:r>
      <w:r w:rsidRPr="004A0F2A">
        <w:rPr>
          <w:u w:val="single"/>
        </w:rPr>
        <w:t xml:space="preserve"> the custody </w:t>
      </w:r>
      <w:r w:rsidR="00FF3DD9">
        <w:rPr>
          <w:u w:val="single"/>
        </w:rPr>
        <w:t>of the department of corrections, or who are</w:t>
      </w:r>
      <w:r w:rsidRPr="004A0F2A">
        <w:rPr>
          <w:u w:val="single"/>
        </w:rPr>
        <w:t xml:space="preserve"> </w:t>
      </w:r>
      <w:r>
        <w:rPr>
          <w:u w:val="single"/>
        </w:rPr>
        <w:t xml:space="preserve">under the </w:t>
      </w:r>
      <w:r w:rsidRPr="004A0F2A">
        <w:rPr>
          <w:u w:val="single"/>
        </w:rPr>
        <w:t>supervision of the department of corrections;</w:t>
      </w:r>
    </w:p>
    <w:p w:rsidR="004A0F2A" w:rsidP="00424E56" w:rsidRDefault="004A0F2A" w14:paraId="7192C3FA" w14:textId="3207AD2E">
      <w:pPr>
        <w:pStyle w:val="RCWSLText"/>
      </w:pPr>
      <w:r w:rsidRPr="00FF3DD9">
        <w:tab/>
      </w:r>
      <w:r w:rsidRPr="004A0F2A">
        <w:rPr>
          <w:u w:val="single"/>
        </w:rPr>
        <w:t>(c)</w:t>
      </w:r>
      <w:r>
        <w:t>"</w:t>
      </w:r>
    </w:p>
    <w:p w:rsidR="004A0F2A" w:rsidP="00424E56" w:rsidRDefault="004A0F2A" w14:paraId="6B8B960D" w14:textId="6508507B">
      <w:pPr>
        <w:pStyle w:val="RCWSLText"/>
      </w:pPr>
    </w:p>
    <w:p w:rsidR="004A0F2A" w:rsidP="00424E56" w:rsidRDefault="004A0F2A" w14:paraId="0B045DEC" w14:textId="57057E09">
      <w:pPr>
        <w:pStyle w:val="RCWSLText"/>
      </w:pPr>
      <w:r>
        <w:tab/>
        <w:t>Renumber the remaining subsection consecutively and correct any internal references accordingly.</w:t>
      </w:r>
    </w:p>
    <w:p w:rsidR="00424E56" w:rsidP="00424E56" w:rsidRDefault="00424E56" w14:paraId="6BAD4FAB" w14:textId="1A4B5E34">
      <w:pPr>
        <w:pStyle w:val="RCWSLText"/>
      </w:pPr>
    </w:p>
    <w:p w:rsidR="00424E56" w:rsidP="00424E56" w:rsidRDefault="00424E56" w14:paraId="5869C2C9" w14:textId="020679E7">
      <w:pPr>
        <w:pStyle w:val="RCWSLText"/>
      </w:pPr>
      <w:r>
        <w:tab/>
        <w:t>On page 12, line 32, after "</w:t>
      </w:r>
      <w:r w:rsidRPr="00424E56">
        <w:rPr>
          <w:u w:val="single"/>
        </w:rPr>
        <w:t>programming.</w:t>
      </w:r>
      <w:r>
        <w:t>" insert "</w:t>
      </w:r>
      <w:r w:rsidRPr="00424E56">
        <w:rPr>
          <w:u w:val="single"/>
        </w:rPr>
        <w:t xml:space="preserve">The </w:t>
      </w:r>
      <w:r w:rsidR="008E529A">
        <w:rPr>
          <w:u w:val="single"/>
        </w:rPr>
        <w:t xml:space="preserve">department's </w:t>
      </w:r>
      <w:r w:rsidRPr="00424E56">
        <w:rPr>
          <w:u w:val="single"/>
        </w:rPr>
        <w:t xml:space="preserve">determination </w:t>
      </w:r>
      <w:r w:rsidR="008E529A">
        <w:rPr>
          <w:u w:val="single"/>
        </w:rPr>
        <w:t>described</w:t>
      </w:r>
      <w:r w:rsidRPr="00424E56">
        <w:rPr>
          <w:u w:val="single"/>
        </w:rPr>
        <w:t xml:space="preserve"> under this subsection must include consideration of the person's behavior while in confinement and any disciplinary considerations.</w:t>
      </w:r>
      <w:r>
        <w:t>"</w:t>
      </w:r>
    </w:p>
    <w:p w:rsidR="008E529A" w:rsidP="00424E56" w:rsidRDefault="008E529A" w14:paraId="4D7F4798" w14:textId="3A2DDC7E">
      <w:pPr>
        <w:pStyle w:val="RCWSLText"/>
      </w:pPr>
    </w:p>
    <w:p w:rsidR="008E529A" w:rsidP="00424E56" w:rsidRDefault="008E529A" w14:paraId="0C70A944" w14:textId="217708FC">
      <w:pPr>
        <w:pStyle w:val="RCWSLText"/>
      </w:pPr>
      <w:r>
        <w:tab/>
        <w:t>On page 12, line 35</w:t>
      </w:r>
      <w:r w:rsidR="00EE62FC">
        <w:t>,</w:t>
      </w:r>
      <w:r>
        <w:t xml:space="preserve"> after "</w:t>
      </w:r>
      <w:r w:rsidRPr="00EE62FC">
        <w:rPr>
          <w:u w:val="single"/>
        </w:rPr>
        <w:t>confinement</w:t>
      </w:r>
      <w:r>
        <w:t>" insert "</w:t>
      </w:r>
      <w:r w:rsidRPr="008E529A">
        <w:rPr>
          <w:u w:val="single"/>
        </w:rPr>
        <w:t>and no less than 15 weeks of total confinement</w:t>
      </w:r>
      <w:r w:rsidRPr="00E33C5F" w:rsidR="00E33C5F">
        <w:rPr>
          <w:u w:val="single"/>
        </w:rPr>
        <w:t xml:space="preserve"> </w:t>
      </w:r>
      <w:r w:rsidR="00E33C5F">
        <w:rPr>
          <w:u w:val="single"/>
        </w:rPr>
        <w:t xml:space="preserve">including time spent in detention prior to </w:t>
      </w:r>
      <w:r w:rsidR="001E7E8D">
        <w:rPr>
          <w:u w:val="single"/>
        </w:rPr>
        <w:t xml:space="preserve">sentencing or </w:t>
      </w:r>
      <w:r w:rsidR="00265BF4">
        <w:rPr>
          <w:u w:val="single"/>
        </w:rPr>
        <w:t xml:space="preserve">the </w:t>
      </w:r>
      <w:r w:rsidR="00E33C5F">
        <w:rPr>
          <w:u w:val="single"/>
        </w:rPr>
        <w:t>entry of a dispositional order</w:t>
      </w:r>
      <w:r>
        <w:t xml:space="preserve">" </w:t>
      </w:r>
    </w:p>
    <w:p w:rsidR="00F32159" w:rsidP="00424E56" w:rsidRDefault="00F32159" w14:paraId="38923D7B" w14:textId="38D89648">
      <w:pPr>
        <w:pStyle w:val="RCWSLText"/>
      </w:pPr>
    </w:p>
    <w:p w:rsidRPr="004A0F2A" w:rsidR="00F61EEF" w:rsidP="00F61EEF" w:rsidRDefault="00F32159" w14:paraId="5042FE65" w14:textId="4FEA2631">
      <w:pPr>
        <w:pStyle w:val="RCWSLText"/>
        <w:rPr>
          <w:u w:val="single"/>
        </w:rPr>
      </w:pPr>
      <w:r>
        <w:lastRenderedPageBreak/>
        <w:tab/>
        <w:t>On page 13, line 20, after "</w:t>
      </w:r>
      <w:r w:rsidRPr="00F61EEF">
        <w:rPr>
          <w:u w:val="single"/>
        </w:rPr>
        <w:t>(ii)</w:t>
      </w:r>
      <w:r w:rsidRPr="00F61EEF">
        <w:t xml:space="preserve">" </w:t>
      </w:r>
      <w:r>
        <w:t xml:space="preserve">insert </w:t>
      </w:r>
      <w:r w:rsidR="00F61EEF">
        <w:t>"</w:t>
      </w:r>
      <w:r w:rsidRPr="004A0F2A" w:rsidR="00F61EEF">
        <w:rPr>
          <w:u w:val="single"/>
        </w:rPr>
        <w:t>Persons who will be transferred to</w:t>
      </w:r>
      <w:r w:rsidR="00F61EEF">
        <w:rPr>
          <w:u w:val="single"/>
        </w:rPr>
        <w:t xml:space="preserve"> the department of corrections, </w:t>
      </w:r>
      <w:r w:rsidRPr="004A0F2A" w:rsidR="00F61EEF">
        <w:rPr>
          <w:u w:val="single"/>
        </w:rPr>
        <w:t xml:space="preserve">who are </w:t>
      </w:r>
      <w:r w:rsidR="00F61EEF">
        <w:rPr>
          <w:u w:val="single"/>
        </w:rPr>
        <w:t>in</w:t>
      </w:r>
      <w:r w:rsidRPr="004A0F2A" w:rsidR="00F61EEF">
        <w:rPr>
          <w:u w:val="single"/>
        </w:rPr>
        <w:t xml:space="preserve"> the custody </w:t>
      </w:r>
      <w:r w:rsidR="00F61EEF">
        <w:rPr>
          <w:u w:val="single"/>
        </w:rPr>
        <w:t>of the department of corrections, or who are</w:t>
      </w:r>
      <w:r w:rsidRPr="004A0F2A" w:rsidR="00F61EEF">
        <w:rPr>
          <w:u w:val="single"/>
        </w:rPr>
        <w:t xml:space="preserve"> </w:t>
      </w:r>
      <w:r w:rsidR="00F61EEF">
        <w:rPr>
          <w:u w:val="single"/>
        </w:rPr>
        <w:t xml:space="preserve">under the </w:t>
      </w:r>
      <w:r w:rsidRPr="004A0F2A" w:rsidR="00F61EEF">
        <w:rPr>
          <w:u w:val="single"/>
        </w:rPr>
        <w:t>supervision of the department of corrections;</w:t>
      </w:r>
    </w:p>
    <w:p w:rsidR="00F61EEF" w:rsidP="00F61EEF" w:rsidRDefault="00F61EEF" w14:paraId="352635F2" w14:textId="4E521F7B">
      <w:pPr>
        <w:pStyle w:val="RCWSLText"/>
      </w:pPr>
      <w:r w:rsidRPr="00FF3DD9">
        <w:tab/>
      </w:r>
      <w:r w:rsidRPr="004A0F2A">
        <w:rPr>
          <w:u w:val="single"/>
        </w:rPr>
        <w:t>(</w:t>
      </w:r>
      <w:r>
        <w:rPr>
          <w:u w:val="single"/>
        </w:rPr>
        <w:t>iii</w:t>
      </w:r>
      <w:r w:rsidRPr="004A0F2A">
        <w:rPr>
          <w:u w:val="single"/>
        </w:rPr>
        <w:t>)</w:t>
      </w:r>
      <w:r>
        <w:t>"</w:t>
      </w:r>
    </w:p>
    <w:p w:rsidR="00F32159" w:rsidP="00424E56" w:rsidRDefault="00F32159" w14:paraId="680A096F" w14:textId="5AE76136">
      <w:pPr>
        <w:pStyle w:val="RCWSLText"/>
        <w:rPr>
          <w:u w:val="single"/>
        </w:rPr>
      </w:pPr>
    </w:p>
    <w:p w:rsidRPr="00F61EEF" w:rsidR="00F61EEF" w:rsidP="00424E56" w:rsidRDefault="00F61EEF" w14:paraId="79894395" w14:textId="08C111EA">
      <w:pPr>
        <w:pStyle w:val="RCWSLText"/>
      </w:pPr>
      <w:r>
        <w:tab/>
        <w:t>Renumber the remaining subsection consecutively and correct any internal references accordingly.</w:t>
      </w:r>
    </w:p>
    <w:permEnd w:id="251860562"/>
    <w:p w:rsidR="00ED2EEB" w:rsidP="00AE103D" w:rsidRDefault="00ED2EEB" w14:paraId="2B5A6E3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7177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FC77FC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E103D" w:rsidRDefault="00D659AC" w14:paraId="4743019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E103D" w:rsidRDefault="0096303F" w14:paraId="70A1780A" w14:textId="1DD84EB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45FDD">
                  <w:t>Makes the following changes:</w:t>
                </w:r>
              </w:p>
              <w:p w:rsidR="00A45FDD" w:rsidP="00A45FDD" w:rsidRDefault="00A45FDD" w14:paraId="0E515D43" w14:textId="36A0B314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Requires that at least 15 weeks of total confinement</w:t>
                </w:r>
                <w:r w:rsidR="00FD589B">
                  <w:t>, including time spent in detention before sentencing or disposition,</w:t>
                </w:r>
                <w:r>
                  <w:t xml:space="preserve"> be served before an individual is eligible for community transition services.</w:t>
                </w:r>
              </w:p>
              <w:p w:rsidR="00A45FDD" w:rsidP="00A45FDD" w:rsidRDefault="00A45FDD" w14:paraId="499F139A" w14:textId="569B194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Requires that the Department of Children, Youth, and Families include in its determination regarding </w:t>
                </w:r>
                <w:r w:rsidR="00F61EEF">
                  <w:t xml:space="preserve">whether it is in the best interest of the person and community to be placed in community transition </w:t>
                </w:r>
                <w:r w:rsidR="00FD589B">
                  <w:t>services</w:t>
                </w:r>
                <w:r w:rsidR="00F61EEF">
                  <w:t xml:space="preserve"> a </w:t>
                </w:r>
                <w:r w:rsidRPr="00F61EEF" w:rsidR="00F61EEF">
                  <w:t>consideration of the person's behavior while in confinement and any disciplinary considerations</w:t>
                </w:r>
                <w:r w:rsidR="00F61EEF">
                  <w:t>.</w:t>
                </w:r>
              </w:p>
              <w:p w:rsidRPr="007D1589" w:rsidR="001B4E53" w:rsidP="00FD589B" w:rsidRDefault="00F61EEF" w14:paraId="7D870493" w14:textId="38114E60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Excludes </w:t>
                </w:r>
                <w:r w:rsidRPr="00F61EEF">
                  <w:t xml:space="preserve">persons who will be transferred to the </w:t>
                </w:r>
                <w:r w:rsidR="00EE62FC">
                  <w:t>D</w:t>
                </w:r>
                <w:r w:rsidRPr="00F61EEF">
                  <w:t xml:space="preserve">epartment of </w:t>
                </w:r>
                <w:r w:rsidR="00EE62FC">
                  <w:t>C</w:t>
                </w:r>
                <w:r w:rsidRPr="00F61EEF">
                  <w:t xml:space="preserve">orrections, who are in the custody of the </w:t>
                </w:r>
                <w:r w:rsidR="00EE62FC">
                  <w:t>D</w:t>
                </w:r>
                <w:r w:rsidRPr="00F61EEF">
                  <w:t xml:space="preserve">epartment of </w:t>
                </w:r>
                <w:r w:rsidR="00EE62FC">
                  <w:t>C</w:t>
                </w:r>
                <w:r w:rsidRPr="00F61EEF">
                  <w:t xml:space="preserve">orrections, or who are under the supervision of the </w:t>
                </w:r>
                <w:r w:rsidR="00EE62FC">
                  <w:t>D</w:t>
                </w:r>
                <w:r w:rsidRPr="00F61EEF">
                  <w:t xml:space="preserve">epartment of </w:t>
                </w:r>
                <w:r w:rsidR="00EE62FC">
                  <w:t>C</w:t>
                </w:r>
                <w:r w:rsidRPr="00F61EEF">
                  <w:t>orrections from community transition services.</w:t>
                </w:r>
              </w:p>
            </w:tc>
          </w:tr>
        </w:sdtContent>
      </w:sdt>
      <w:permEnd w:id="182717744"/>
    </w:tbl>
    <w:p w:rsidR="00DF5D0E" w:rsidP="00AE103D" w:rsidRDefault="00DF5D0E" w14:paraId="637EB3D0" w14:textId="77777777">
      <w:pPr>
        <w:pStyle w:val="BillEnd"/>
        <w:suppressLineNumbers/>
      </w:pPr>
    </w:p>
    <w:p w:rsidR="00DF5D0E" w:rsidP="00AE103D" w:rsidRDefault="00DE256E" w14:paraId="0EC5125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E103D" w:rsidRDefault="00AB682C" w14:paraId="395CB2E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737A7" w14:textId="77777777" w:rsidR="00AE103D" w:rsidRDefault="00AE103D" w:rsidP="00DF5D0E">
      <w:r>
        <w:separator/>
      </w:r>
    </w:p>
  </w:endnote>
  <w:endnote w:type="continuationSeparator" w:id="0">
    <w:p w14:paraId="3C7FF4BB" w14:textId="77777777" w:rsidR="00AE103D" w:rsidRDefault="00AE10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5AF9" w:rsidRDefault="005C5AF9" w14:paraId="1BEF41C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E5A49" w14:paraId="579A7652" w14:textId="4E06CD33">
    <w:pPr>
      <w:pStyle w:val="AmendDraftFooter"/>
    </w:pPr>
    <w:fldSimple w:instr=" TITLE   \* MERGEFORMAT ">
      <w:r>
        <w:t>1186-S2 AMH GOOD WICK 491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E5A49" w14:paraId="129157E0" w14:textId="0BA39005">
    <w:pPr>
      <w:pStyle w:val="AmendDraftFooter"/>
    </w:pPr>
    <w:fldSimple w:instr=" TITLE   \* MERGEFORMAT ">
      <w:r>
        <w:t>1186-S2 AMH GOOD WICK 491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8B1A2" w14:textId="77777777" w:rsidR="00AE103D" w:rsidRDefault="00AE103D" w:rsidP="00DF5D0E">
      <w:r>
        <w:separator/>
      </w:r>
    </w:p>
  </w:footnote>
  <w:footnote w:type="continuationSeparator" w:id="0">
    <w:p w14:paraId="2B74B9F8" w14:textId="77777777" w:rsidR="00AE103D" w:rsidRDefault="00AE10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D8D47" w14:textId="77777777" w:rsidR="005C5AF9" w:rsidRDefault="005C5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EEE3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0371D5" wp14:editId="2432CC2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9B6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A8251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47E8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51E4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504F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738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9C87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078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C1EE2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ED8F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9D90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C6CB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6784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5B2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8068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E356E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2CDF4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3615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FE48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C77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9F1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A4A06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4E16F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74CC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6C5E4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CC5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EC08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C20DE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416B7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698A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A8F5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8D08B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3738E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327D1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371D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869B64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A82518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47E876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51E433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504FD3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73840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9C878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07824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C1EE2B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ED8F4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9D90B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C6CB0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6784B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5B2AA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80687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E356E1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2CDF4D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36158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FE48B7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C779F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9F173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A4A065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4E16F3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74CC1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6C5E41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CC5BD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EC08F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C20DEF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416B7E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698AF7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A8F5C3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8D08B0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3738E5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327D1C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9BD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CEAA7E" wp14:editId="526F71B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15A1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0A99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D3FF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F70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1042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E12E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4BB79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2673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3154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47F9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4FB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7619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EC09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D3887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A476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75D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03CB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3B53A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8C46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7CF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DD64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B776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E07AB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746F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ED87A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E7A097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CA782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EAA7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CC15A1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0A99C0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D3FF5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F70F3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1042D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E12E5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4BB793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2673B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31546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47F93A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4FB24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76199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EC0959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D38871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A476F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75DA1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03CB33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3B53A5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8C469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27CFC0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DD64F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B77626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E07AB6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746F33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ED87A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E7A097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CA782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0D1103"/>
    <w:multiLevelType w:val="hybridMultilevel"/>
    <w:tmpl w:val="9C4E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E7E8D"/>
    <w:rsid w:val="00217E8A"/>
    <w:rsid w:val="00265296"/>
    <w:rsid w:val="00265BF4"/>
    <w:rsid w:val="00281CBD"/>
    <w:rsid w:val="00316CD9"/>
    <w:rsid w:val="003E2FC6"/>
    <w:rsid w:val="00424E56"/>
    <w:rsid w:val="00492DDC"/>
    <w:rsid w:val="004A0F2A"/>
    <w:rsid w:val="004C6615"/>
    <w:rsid w:val="005115F9"/>
    <w:rsid w:val="00523C5A"/>
    <w:rsid w:val="005C5AF9"/>
    <w:rsid w:val="005E69C3"/>
    <w:rsid w:val="00605C39"/>
    <w:rsid w:val="006841E6"/>
    <w:rsid w:val="006D6C59"/>
    <w:rsid w:val="006F7027"/>
    <w:rsid w:val="007049E4"/>
    <w:rsid w:val="0072335D"/>
    <w:rsid w:val="0072541D"/>
    <w:rsid w:val="00757317"/>
    <w:rsid w:val="007769AF"/>
    <w:rsid w:val="007A76CE"/>
    <w:rsid w:val="007D1589"/>
    <w:rsid w:val="007D35D4"/>
    <w:rsid w:val="0083749C"/>
    <w:rsid w:val="008443FE"/>
    <w:rsid w:val="00846034"/>
    <w:rsid w:val="008C55AE"/>
    <w:rsid w:val="008C7E6E"/>
    <w:rsid w:val="008E529A"/>
    <w:rsid w:val="008E5A49"/>
    <w:rsid w:val="00931B84"/>
    <w:rsid w:val="0096303F"/>
    <w:rsid w:val="00972869"/>
    <w:rsid w:val="00984CD1"/>
    <w:rsid w:val="009F23A9"/>
    <w:rsid w:val="00A01F29"/>
    <w:rsid w:val="00A17B5B"/>
    <w:rsid w:val="00A45FDD"/>
    <w:rsid w:val="00A4729B"/>
    <w:rsid w:val="00A93D4A"/>
    <w:rsid w:val="00AA1230"/>
    <w:rsid w:val="00AB682C"/>
    <w:rsid w:val="00AD2D0A"/>
    <w:rsid w:val="00AE103D"/>
    <w:rsid w:val="00B31D1C"/>
    <w:rsid w:val="00B41494"/>
    <w:rsid w:val="00B518D0"/>
    <w:rsid w:val="00B56650"/>
    <w:rsid w:val="00B73E0A"/>
    <w:rsid w:val="00B84602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3C5F"/>
    <w:rsid w:val="00E41CC6"/>
    <w:rsid w:val="00E66F5D"/>
    <w:rsid w:val="00E831A5"/>
    <w:rsid w:val="00E850E7"/>
    <w:rsid w:val="00EB16AC"/>
    <w:rsid w:val="00EC4C96"/>
    <w:rsid w:val="00ED2EEB"/>
    <w:rsid w:val="00EE62FC"/>
    <w:rsid w:val="00F229DE"/>
    <w:rsid w:val="00F304D3"/>
    <w:rsid w:val="00F32159"/>
    <w:rsid w:val="00F4663F"/>
    <w:rsid w:val="00F61EEF"/>
    <w:rsid w:val="00FD589B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9C48B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3619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1186-S2</BillDocName>
  <AmendType>AMH</AmendType>
  <SponsorAcronym>GOOD</SponsorAcronym>
  <DrafterAcronym>WICK</DrafterAcronym>
  <DraftNumber>491</DraftNumber>
  <ReferenceNumber>2SHB 1186</ReferenceNumber>
  <Floor>H AMD</Floor>
  <AmendmentNumber> 234</AmendmentNumber>
  <Sponsors>By Representative Goodman</Sponsors>
  <FloorAction>ADOPTED 03/03/2021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34</TotalTime>
  <Pages>2</Pages>
  <Words>369</Words>
  <Characters>2062</Characters>
  <Application>Microsoft Office Word</Application>
  <DocSecurity>8</DocSecurity>
  <Lines>62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1186-S2 AMH GOOD WICK 491</vt:lpstr>
    </vt:vector>
  </TitlesOfParts>
  <Company>Washington State Legislature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1186-S2 AMH GOOD WICK 491</dc:title>
  <dc:creator>Luke Wickham</dc:creator>
  <cp:lastModifiedBy>Wickham, Luke</cp:lastModifiedBy>
  <cp:revision>13</cp:revision>
  <dcterms:created xsi:type="dcterms:W3CDTF">2021-02-25T17:45:00Z</dcterms:created>
  <dcterms:modified xsi:type="dcterms:W3CDTF">2021-02-26T05:01:00Z</dcterms:modified>
</cp:coreProperties>
</file>