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a11e4e6a14d6b" /></Relationships>
</file>

<file path=word/document.xml><?xml version="1.0" encoding="utf-8"?>
<w:document xmlns:w="http://schemas.openxmlformats.org/wordprocessingml/2006/main">
  <w:body>
    <w:p>
      <w:r>
        <w:rPr>
          <w:b/>
        </w:rPr>
        <w:r>
          <w:rPr/>
          <w:t xml:space="preserve">1272-S2</w:t>
        </w:r>
      </w:r>
      <w:r>
        <w:rPr>
          <w:b/>
        </w:rPr>
        <w:t xml:space="preserve"> </w:t>
        <w:t xml:space="preserve">AMH</w:t>
      </w:r>
      <w:r>
        <w:rPr>
          <w:b/>
        </w:rPr>
        <w:t xml:space="preserve"> </w:t>
        <w:r>
          <w:rPr/>
          <w:t xml:space="preserve">MACR</w:t>
        </w:r>
      </w:r>
      <w:r>
        <w:rPr>
          <w:b/>
        </w:rPr>
        <w:t xml:space="preserve"> </w:t>
        <w:r>
          <w:rPr/>
          <w:t xml:space="preserve">H1127.2</w:t>
        </w:r>
      </w:r>
      <w:r>
        <w:rPr>
          <w:b/>
        </w:rPr>
        <w:t xml:space="preserve"> - NOT FOR FLOOR USE</w:t>
      </w:r>
    </w:p>
    <w:p>
      <w:pPr>
        <w:ind w:left="0" w:right="0" w:firstLine="576"/>
      </w:pPr>
    </w:p>
    <w:p>
      <w:pPr>
        <w:spacing w:before="480" w:after="0" w:line="408" w:lineRule="exact"/>
      </w:pPr>
      <w:r>
        <w:rPr>
          <w:b/>
          <w:u w:val="single"/>
        </w:rPr>
        <w:t xml:space="preserve">2SHB 1272</w:t>
      </w:r>
      <w:r>
        <w:t xml:space="preserve"> -</w:t>
      </w:r>
      <w:r>
        <w:t xml:space="preserve"> </w:t>
        <w:t xml:space="preserve">H AMD</w:t>
      </w:r>
      <w:r>
        <w:t xml:space="preserve"> </w:t>
      </w:r>
      <w:r>
        <w:rPr>
          <w:b/>
        </w:rPr>
        <w:t xml:space="preserve">118</w:t>
      </w:r>
    </w:p>
    <w:p>
      <w:pPr>
        <w:spacing w:before="0" w:after="0" w:line="408" w:lineRule="exact"/>
        <w:ind w:left="0" w:right="0" w:firstLine="576"/>
        <w:jc w:val="left"/>
      </w:pPr>
      <w:r>
        <w:rPr/>
        <w:t xml:space="preserve">By Representative Macri</w:t>
      </w:r>
    </w:p>
    <w:p>
      <w:pPr>
        <w:jc w:val="right"/>
      </w:pPr>
      <w:r>
        <w:rPr>
          <w:b/>
        </w:rPr>
        <w:t xml:space="preserve">ADOPTED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Patient discharge information reported by hospitals to the department must identify patients by race, ethnicity, gender identity,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to allow hospitals to adopt an alternative reporting method due to economic hardship, technological limitations that are not reasonably in the control of the hospital, or other exceptional circumstance demonstrated by the hospital.</w:t>
      </w:r>
    </w:p>
    <w:p>
      <w:pPr>
        <w:spacing w:before="0" w:after="0" w:line="408" w:lineRule="exact"/>
        <w:ind w:left="0" w:right="0" w:firstLine="576"/>
        <w:jc w:val="left"/>
      </w:pPr>
      <w:r>
        <w:rPr>
          <w:u w:val="single"/>
        </w:rPr>
        <w:t xml:space="preserve">(7)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in collaboration with hospitals, health care workers, purchasers, and communities with lived experience of systemic health inequities, shall select a qualified research entity to analyze the impact of the number, type, education, training, and experience of acute care hospital staffing personnel on patient mortality and patient outcomes utilizing scientifically sound research methods most effective for all involved stakeholders.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patient discharge data reporting requirements from patient-specific charity care and income information to a quarterly report on the number of completed and submitted charity care applications as well as the number of approved applications. Directs the Department of Health (Department) to develop a waiver process for hospitals to adopt an alternative reporting method in the event of economic hardship or technological limitations.</w:t>
      </w:r>
    </w:p>
    <w:p>
      <w:pPr>
        <w:spacing w:before="0" w:after="0" w:line="408" w:lineRule="exact"/>
        <w:ind w:left="0" w:right="0" w:firstLine="576"/>
        <w:jc w:val="left"/>
      </w:pPr>
      <w:r>
        <w:rPr/>
        <w:t xml:space="preserve">Removes the hospital reporting requirement regarding critical staffing and mortality rate data. Directs the Department to contract for a study of the impact of the number, type, education, training, and experience of acute care hospital staffing on patient mortality and patient outcomes, with controls for other contributing factors. Requires the study to be completed by September 1, 2022.</w:t>
      </w:r>
    </w:p>
    <w:p>
      <w:pPr>
        <w:spacing w:before="0" w:after="0" w:line="408" w:lineRule="exact"/>
        <w:ind w:left="0" w:right="0" w:firstLine="576"/>
        <w:jc w:val="left"/>
      </w:pPr>
      <w:r>
        <w:rPr/>
        <w:t xml:space="preserve">Limits the reporting of community health improvement services by hospitals other than critical access hospitals and sole community hospitals to those services with a cost of $5,000 or more.</w:t>
      </w:r>
    </w:p>
    <w:p>
      <w:pPr>
        <w:spacing w:before="0" w:after="0" w:line="408" w:lineRule="exact"/>
        <w:ind w:left="0" w:right="0" w:firstLine="576"/>
        <w:jc w:val="left"/>
      </w:pPr>
      <w:r>
        <w:rPr/>
        <w:t xml:space="preserve">Adds to the community health improvement services reporting information about how the activity relates to identified community needs, the target population for the activity, strategies used to reach the target population, and identified outcome metrics. Requires the reporting of demographic information about community health improvement services participants' race, ethnicity, any disability, gender identity, preferred language, and zip code. Allows the Department, upon consultation with interested entities, to revise the demographic information reporting every six years.</w:t>
      </w:r>
    </w:p>
    <w:p>
      <w:pPr>
        <w:spacing w:before="0" w:after="0" w:line="408" w:lineRule="exact"/>
        <w:ind w:left="0" w:right="0" w:firstLine="576"/>
        <w:jc w:val="left"/>
      </w:pPr>
      <w:r>
        <w:rPr/>
        <w:t xml:space="preserve">Requires community health improvement services information to be reported annually. Directs the Department, in consultation with interested entities, to provide guidance on participant data collection and reporting, including a standard reporting form. Allows multiple similar community health improvement services activities to be combined into a single activity for reporting purposes.</w:t>
      </w:r>
    </w:p>
    <w:p>
      <w:pPr>
        <w:spacing w:before="0" w:after="0" w:line="408" w:lineRule="exact"/>
        <w:ind w:left="0" w:right="0" w:firstLine="576"/>
        <w:jc w:val="left"/>
      </w:pPr>
      <w:r>
        <w:rPr/>
        <w:t xml:space="preserve">Requires hospitals to submit to the Department information regarding community health needs assessments and community health improvement services. Directs the Department to post the information on its website.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2f3e9f86341eb" /></Relationships>
</file>