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69bacaaf04de2" /></Relationships>
</file>

<file path=word/document.xml><?xml version="1.0" encoding="utf-8"?>
<w:document xmlns:w="http://schemas.openxmlformats.org/wordprocessingml/2006/main">
  <w:body>
    <w:p>
      <w:r>
        <w:rPr>
          <w:b/>
        </w:rPr>
        <w:r>
          <w:rPr/>
          <w:t xml:space="preserve">1320-S2</w:t>
        </w:r>
      </w:r>
      <w:r>
        <w:rPr>
          <w:b/>
        </w:rPr>
        <w:t xml:space="preserve"> </w:t>
        <w:t xml:space="preserve">AMH</w:t>
      </w:r>
      <w:r>
        <w:rPr>
          <w:b/>
        </w:rPr>
        <w:t xml:space="preserve"> </w:t>
        <w:r>
          <w:rPr/>
          <w:t xml:space="preserve">GOOD</w:t>
        </w:r>
      </w:r>
      <w:r>
        <w:rPr>
          <w:b/>
        </w:rPr>
        <w:t xml:space="preserve"> </w:t>
        <w:r>
          <w:rPr/>
          <w:t xml:space="preserve">H1178.1</w:t>
        </w:r>
      </w:r>
      <w:r>
        <w:rPr>
          <w:b/>
        </w:rPr>
        <w:t xml:space="preserve"> - NOT FOR FLOOR USE</w:t>
      </w:r>
    </w:p>
    <w:p>
      <w:pPr>
        <w:ind w:left="0" w:right="0" w:firstLine="576"/>
      </w:pPr>
    </w:p>
    <w:p>
      <w:pPr>
        <w:spacing w:before="480" w:after="0" w:line="408" w:lineRule="exact"/>
      </w:pPr>
      <w:r>
        <w:rPr>
          <w:b/>
          <w:u w:val="single"/>
        </w:rPr>
        <w:t xml:space="preserve">2SHB 1320</w:t>
      </w:r>
      <w:r>
        <w:t xml:space="preserve"> -</w:t>
      </w:r>
      <w:r>
        <w:t xml:space="preserve"> </w:t>
        <w:t xml:space="preserve">H AMD</w:t>
      </w:r>
      <w:r>
        <w:t xml:space="preserve"> </w:t>
      </w:r>
      <w:r>
        <w:rPr>
          <w:b/>
        </w:rPr>
        <w:t xml:space="preserve">224</w:t>
      </w:r>
    </w:p>
    <w:p>
      <w:pPr>
        <w:spacing w:before="0" w:after="0" w:line="408" w:lineRule="exact"/>
        <w:ind w:left="0" w:right="0" w:firstLine="576"/>
        <w:jc w:val="left"/>
      </w:pPr>
      <w:r>
        <w:rPr/>
        <w:t xml:space="preserve">By Representative Goodman</w:t>
      </w:r>
    </w:p>
    <w:p>
      <w:pPr>
        <w:jc w:val="right"/>
      </w:pPr>
      <w:r>
        <w:rPr>
          <w:b/>
        </w:rPr>
        <w:t xml:space="preserve">ADOPTED 03/01/2021</w:t>
      </w:r>
    </w:p>
    <w:p>
      <w:pPr>
        <w:spacing w:before="0" w:after="0" w:line="408" w:lineRule="exact"/>
        <w:ind w:left="0" w:right="0" w:firstLine="576"/>
        <w:jc w:val="left"/>
      </w:pPr>
      <w:r>
        <w:rPr/>
        <w:t xml:space="preserve">Beginning on page 8, line 16, strike all of section 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"Coercive control" means a pattern of behavior that in purpose or effect unreasonably interferes with a person's free will and personal liberty and is used to cause another to suffer physical or psychological harm. Examples of coercive control include, but are not limited to, unreasonably engaging in any of the following:</w:t>
      </w:r>
    </w:p>
    <w:p>
      <w:pPr>
        <w:spacing w:before="0" w:after="0" w:line="408" w:lineRule="exact"/>
        <w:ind w:left="0" w:right="0" w:firstLine="576"/>
        <w:jc w:val="left"/>
      </w:pPr>
      <w:r>
        <w:rPr/>
        <w:t xml:space="preserve">(a) Making threats of harm, dependence, isolation, intimidation, and/or physical forms of violence;</w:t>
      </w:r>
    </w:p>
    <w:p>
      <w:pPr>
        <w:spacing w:before="0" w:after="0" w:line="408" w:lineRule="exact"/>
        <w:ind w:left="0" w:right="0" w:firstLine="576"/>
        <w:jc w:val="left"/>
      </w:pPr>
      <w:r>
        <w:rPr/>
        <w:t xml:space="preserve">(b) Isolating the other party from friends, relatives, or other sources of support;</w:t>
      </w:r>
    </w:p>
    <w:p>
      <w:pPr>
        <w:spacing w:before="0" w:after="0" w:line="408" w:lineRule="exact"/>
        <w:ind w:left="0" w:right="0" w:firstLine="576"/>
        <w:jc w:val="left"/>
      </w:pPr>
      <w:r>
        <w:rPr/>
        <w:t xml:space="preserve">(c) Depriving the other party of basic necessities or committing other forms of economic abuse;</w:t>
      </w:r>
    </w:p>
    <w:p>
      <w:pPr>
        <w:spacing w:before="0" w:after="0" w:line="408" w:lineRule="exact"/>
        <w:ind w:left="0" w:right="0" w:firstLine="576"/>
        <w:jc w:val="left"/>
      </w:pPr>
      <w:r>
        <w:rPr/>
        <w:t xml:space="preserve">(d) Controlling, regulating, or monitoring the other party's movements, communications, daily behavior, finances, economic resources, or access to services;</w:t>
      </w:r>
    </w:p>
    <w:p>
      <w:pPr>
        <w:spacing w:before="0" w:after="0" w:line="408" w:lineRule="exact"/>
        <w:ind w:left="0" w:right="0" w:firstLine="576"/>
        <w:jc w:val="left"/>
      </w:pPr>
      <w:r>
        <w:rPr/>
        <w:t xml:space="preserve">(e) Compelling the other party by force, threat of force, or intimidation, including threats based on actual or suspected immigration status such as threats to contact federal agencies, to engage in conduct from which the other party has a right to abstain or to abstain from conduct in which the other party has a right to engage;</w:t>
      </w:r>
    </w:p>
    <w:p>
      <w:pPr>
        <w:spacing w:before="0" w:after="0" w:line="408" w:lineRule="exact"/>
        <w:ind w:left="0" w:right="0" w:firstLine="576"/>
        <w:jc w:val="left"/>
      </w:pPr>
      <w:r>
        <w:rPr/>
        <w:t xml:space="preserve">(f) Using technology, including, but not limited to, cyberstalking, monitoring, surveillance, impersonation, or distribution of intimate images, to harass, stalk, or abuse;</w:t>
      </w:r>
    </w:p>
    <w:p>
      <w:pPr>
        <w:spacing w:before="0" w:after="0" w:line="408" w:lineRule="exact"/>
        <w:ind w:left="0" w:right="0" w:firstLine="576"/>
        <w:jc w:val="left"/>
      </w:pPr>
      <w:r>
        <w:rPr/>
        <w:t xml:space="preserve">(g) Engaging in vexatious or abusive litigation against a petitioner to harass, coerce, or control the petitioner; to diminish or exhaust the petitioner's financial resources; or to compromise the petitioner's employment or housing;</w:t>
      </w:r>
    </w:p>
    <w:p>
      <w:pPr>
        <w:spacing w:before="0" w:after="0" w:line="408" w:lineRule="exact"/>
        <w:ind w:left="0" w:right="0" w:firstLine="576"/>
        <w:jc w:val="left"/>
      </w:pPr>
      <w:r>
        <w:rPr/>
        <w:t xml:space="preserve">(h) Engaging in psychological aggression; and</w:t>
      </w:r>
    </w:p>
    <w:p>
      <w:pPr>
        <w:spacing w:before="0" w:after="0" w:line="408" w:lineRule="exact"/>
        <w:ind w:left="0" w:right="0" w:firstLine="576"/>
        <w:jc w:val="left"/>
      </w:pPr>
      <w:r>
        <w:rPr/>
        <w:t xml:space="preserve">(i) Frightening, humiliating, degrading, or punishing the other party.</w:t>
      </w:r>
    </w:p>
    <w:p>
      <w:pPr>
        <w:spacing w:before="0" w:after="0" w:line="408" w:lineRule="exact"/>
        <w:ind w:left="0" w:right="0" w:firstLine="576"/>
        <w:jc w:val="left"/>
      </w:pPr>
      <w:r>
        <w:rPr/>
        <w:t xml:space="preserve">(5)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(6)(a)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(7) "Court clerk" means court administrators in courts of limited jurisdiction and elected court clerks.</w:t>
      </w:r>
    </w:p>
    <w:p>
      <w:pPr>
        <w:spacing w:before="0" w:after="0" w:line="408" w:lineRule="exact"/>
        <w:ind w:left="0" w:right="0" w:firstLine="576"/>
        <w:jc w:val="left"/>
      </w:pPr>
      <w:r>
        <w:rPr/>
        <w:t xml:space="preserve">(8)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(9)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pPr>
        <w:spacing w:before="0" w:after="0" w:line="408" w:lineRule="exact"/>
        <w:ind w:left="0" w:right="0" w:firstLine="576"/>
        <w:jc w:val="left"/>
      </w:pPr>
      <w:r>
        <w:rPr/>
        <w:t xml:space="preserve">(10) "Electronic monitoring" has the same meaning as in RCW 9.94A.030.</w:t>
      </w:r>
    </w:p>
    <w:p>
      <w:pPr>
        <w:spacing w:before="0" w:after="0" w:line="408" w:lineRule="exact"/>
        <w:ind w:left="0" w:right="0" w:firstLine="576"/>
        <w:jc w:val="left"/>
      </w:pPr>
      <w:r>
        <w:rPr/>
        <w:t xml:space="preserve">(11)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(12)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(13)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(14)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(15)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(16) "Full hearing" means a hearing where the court determines whether to issue a full protection order.</w:t>
      </w:r>
    </w:p>
    <w:p>
      <w:pPr>
        <w:spacing w:before="0" w:after="0" w:line="408" w:lineRule="exact"/>
        <w:ind w:left="0" w:right="0" w:firstLine="576"/>
        <w:jc w:val="left"/>
      </w:pPr>
      <w:r>
        <w:rPr/>
        <w:t xml:space="preserve">(17)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(18)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(19)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(20)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rPr/>
        <w:t xml:space="preserve">(21)(a)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(22) "Judicial day" means days of the week other than Saturdays, Sundays, or legal holidays.</w:t>
      </w:r>
    </w:p>
    <w:p>
      <w:pPr>
        <w:spacing w:before="0" w:after="0" w:line="408" w:lineRule="exact"/>
        <w:ind w:left="0" w:right="0" w:firstLine="576"/>
        <w:jc w:val="left"/>
      </w:pPr>
      <w:r>
        <w:rPr/>
        <w:t xml:space="preserve">(23)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(24) "Minor" means a person who is under 18 years of age.</w:t>
      </w:r>
    </w:p>
    <w:p>
      <w:pPr>
        <w:spacing w:before="0" w:after="0" w:line="408" w:lineRule="exact"/>
        <w:ind w:left="0" w:right="0" w:firstLine="576"/>
        <w:jc w:val="left"/>
      </w:pPr>
      <w:r>
        <w:rPr/>
        <w:t xml:space="preserve">(25)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(26) "Nonconsensual" means a lack of freely given consent.</w:t>
      </w:r>
    </w:p>
    <w:p>
      <w:pPr>
        <w:spacing w:before="0" w:after="0" w:line="408" w:lineRule="exact"/>
        <w:ind w:left="0" w:right="0" w:firstLine="576"/>
        <w:jc w:val="left"/>
      </w:pPr>
      <w:r>
        <w:rPr/>
        <w:t xml:space="preserve">(27)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rPr/>
        <w:t xml:space="preserve">(28) "Petitioner" means any named petitioner or any other person identified in the petition on whose behalf the petition is brought.</w:t>
      </w:r>
    </w:p>
    <w:p>
      <w:pPr>
        <w:spacing w:before="0" w:after="0" w:line="408" w:lineRule="exact"/>
        <w:ind w:left="0" w:right="0" w:firstLine="576"/>
        <w:jc w:val="left"/>
      </w:pPr>
      <w:r>
        <w:rPr/>
        <w:t xml:space="preserve">(29)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(30)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(31) "Respondent" means the person who is identified as the respondent in a petition filed under this chapter.</w:t>
      </w:r>
    </w:p>
    <w:p>
      <w:pPr>
        <w:spacing w:before="0" w:after="0" w:line="408" w:lineRule="exact"/>
        <w:ind w:left="0" w:right="0" w:firstLine="576"/>
        <w:jc w:val="left"/>
      </w:pPr>
      <w:r>
        <w:rPr/>
        <w:t xml:space="preserve">(32)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(33)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(34)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(35)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(36)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(37)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On page 31, beginning on line 2, after "(1)" strike all material through "develop" on line 4 and insert "By June 30, 2022, the administrative office of the courts shall:</w:t>
      </w:r>
    </w:p>
    <w:p>
      <w:pPr>
        <w:spacing w:before="0" w:after="0" w:line="408" w:lineRule="exact"/>
        <w:ind w:left="0" w:right="0" w:firstLine="576"/>
        <w:jc w:val="left"/>
      </w:pPr>
      <w:r>
        <w:rPr/>
        <w:t xml:space="preserve">(a) Develop"</w:t>
      </w:r>
    </w:p>
    <w:p>
      <w:pPr>
        <w:spacing w:before="0" w:after="0" w:line="408" w:lineRule="exact"/>
        <w:ind w:left="0" w:right="0" w:firstLine="576"/>
        <w:jc w:val="left"/>
      </w:pPr>
      <w:r>
        <w:rPr/>
        <w:t xml:space="preserve">On page 31, line 20, after "(b)" strike all material through "develop" and insert "Develop"</w:t>
      </w:r>
    </w:p>
    <w:p>
      <w:pPr>
        <w:spacing w:before="0" w:after="0" w:line="408" w:lineRule="exact"/>
        <w:ind w:left="0" w:right="0" w:firstLine="576"/>
        <w:jc w:val="left"/>
      </w:pPr>
      <w:r>
        <w:rPr/>
        <w:t xml:space="preserve">On page 32, line 28, after "(ii)" strike all material through "in" and insert "In"</w:t>
      </w:r>
    </w:p>
    <w:p>
      <w:pPr>
        <w:spacing w:before="0" w:after="0" w:line="408" w:lineRule="exact"/>
        <w:ind w:left="0" w:right="0" w:firstLine="576"/>
        <w:jc w:val="left"/>
      </w:pPr>
      <w:r>
        <w:rPr/>
        <w:t xml:space="preserve">On page 33, beginning on line 34, after "develop" strike all material through "matters" on line 35 and insert "for the courts"</w:t>
      </w:r>
    </w:p>
    <w:p>
      <w:pPr>
        <w:spacing w:before="0" w:after="0" w:line="408" w:lineRule="exact"/>
        <w:ind w:left="0" w:right="0" w:firstLine="576"/>
        <w:jc w:val="left"/>
      </w:pPr>
      <w:r>
        <w:rPr/>
        <w:t xml:space="preserve">Beginning on page 50, line 1, strike all of section 28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VULNERABLE ADULT PROTECTION ORDER HEARINGS.</w:t>
      </w:r>
      <w:r>
        <w:t xml:space="preserve">  </w:t>
      </w:r>
      <w:r>
        <w:rPr/>
        <w:t xml:space="preserve">For vulnerable adult protection order hearings, the following also apply.</w:t>
      </w:r>
    </w:p>
    <w:p>
      <w:pPr>
        <w:spacing w:before="0" w:after="0" w:line="408" w:lineRule="exact"/>
        <w:ind w:left="0" w:right="0" w:firstLine="576"/>
        <w:jc w:val="left"/>
      </w:pPr>
      <w:r>
        <w:rPr/>
        <w:t xml:space="preserve">(1) When a petition for a vulnerable adult protection order is filed by someone other than the vulnerable adult or the vulnerable adult's guardian, conservator, or person acting under a protective arrangement, or both, and the vulnerable adult for whom protection is sought advises the court at the hearing that the vulnerable adult does not want all or part of the protection sought in the petition, then the court may dismiss the petition or the provisions that the vulnerable adult objects to and any existing vulnerable adult protection order,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protection order of the vulnerable adult pending a decision after the evidentiary hearing.</w:t>
      </w:r>
    </w:p>
    <w:p>
      <w:pPr>
        <w:spacing w:before="0" w:after="0" w:line="408" w:lineRule="exact"/>
        <w:ind w:left="0" w:right="0" w:firstLine="576"/>
        <w:jc w:val="left"/>
      </w:pPr>
      <w:r>
        <w:rPr/>
        <w:t xml:space="preserve">(2) Pursuant to subsection (1) of this section, an evidentiary hearing on the issue of whether the vulnerable adult is unable, due to incapacity, undue influence, or duress, to protect his or her person or estate in connection with the issues raised in the petition or order, must be held within 14 days of entry of the temporary protection order. If the court did not enter a temporary protection order, the evidentiary hearing must be held within 14 days of the prior hearing on the petition. Notice of the time and place of the evidentiary hearing must be served upon the vulnerable adult and the respondent not less than five judicial days before the hearing. If timely service cannot be made, the court may set a new hearing date. A hearing under this subsection is not necessary if the vulnerable adult has been determined to be subject to a guardianship, conservatorship, or other protective arrangement under chapter 11.130 RCW. If a hearing is scheduled under this subsection, the protection order must remain in effect pending the court's decision at the subsequent hearing.</w:t>
      </w:r>
    </w:p>
    <w:p>
      <w:pPr>
        <w:spacing w:before="0" w:after="0" w:line="408" w:lineRule="exact"/>
        <w:ind w:left="0" w:right="0" w:firstLine="576"/>
        <w:jc w:val="left"/>
      </w:pPr>
      <w:r>
        <w:rPr/>
        <w:t xml:space="preserve">(3) At the hearing held pursuant to subsection (1) of this section,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vulnerable adult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vulnerable adult continues to need protection, the court shall order relief consistent with this chapter as it deems necessary for the protection of the vulnerable adult. In the entry of any order that is inconsistent with the expressed wishes of the vulnerable adult, the court's order is governed by the legislative findings contained in section 1 of this act."</w:t>
      </w:r>
    </w:p>
    <w:p>
      <w:pPr>
        <w:spacing w:before="0" w:after="0" w:line="408" w:lineRule="exact"/>
        <w:ind w:left="0" w:right="0" w:firstLine="576"/>
        <w:jc w:val="left"/>
      </w:pPr>
      <w:r>
        <w:rPr/>
        <w:t xml:space="preserve">On page 88, beginning on line 26, strike all of section 63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63</w:instrText>
      </w:r>
      <w:r/>
      <w:r>
        <w:rPr>
          <w:b/>
        </w:rPr>
        <w:fldChar w:fldCharType="end"/>
      </w:r>
      <w:r>
        <w:t xml:space="preserve">  </w:t>
      </w:r>
      <w:r>
        <w:rPr/>
        <w:t xml:space="preserve">MODIFICATION OR TERMINATION OF VULNERABLE ADULT PROTECTION ORDERS.</w:t>
      </w:r>
      <w:r>
        <w:t xml:space="preserve">  </w:t>
      </w: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is subject to a limited guardianship, limited conservatorship, or other protective arrangement under chapter 11.130 RCW, or the vulnerable adult's guardian, conservator, or person acting on behalf of the vulnerable adult under a protective arrangement, may, at any time subsequent to the entry of a permanent protection order under this chapter, file a motion to modify or terminate the protection order.</w:t>
      </w:r>
    </w:p>
    <w:p>
      <w:pPr>
        <w:spacing w:before="0" w:after="0" w:line="408" w:lineRule="exact"/>
        <w:ind w:left="0" w:right="0" w:firstLine="576"/>
        <w:jc w:val="left"/>
      </w:pPr>
      <w:r>
        <w:rPr/>
        <w:t xml:space="preserve">(2) In a hearing on a motion to modify or terminate the protection order, the court shall grant such relief consistent with section 39 of this act as it deems necessary for the protection of the vulnerable adult, including modification or termination of the protection order."</w:t>
      </w:r>
    </w:p>
    <w:p>
      <w:pPr>
        <w:spacing w:before="0" w:after="0" w:line="408" w:lineRule="exact"/>
        <w:ind w:left="0" w:right="0" w:firstLine="576"/>
        <w:jc w:val="left"/>
      </w:pPr>
      <w:r>
        <w:rPr/>
        <w:t xml:space="preserve">Beginning on page 91, line 26, strike all of sections 72 through 74</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t xml:space="preserve">On page 124, line 18, after "</w:t>
      </w:r>
      <w:r>
        <w:rPr>
          <w:b/>
        </w:rPr>
        <w:t xml:space="preserve">EFFECTIVE DATE</w:t>
      </w:r>
      <w:r>
        <w:rPr/>
        <w:t xml:space="preserve">" strike "</w:t>
      </w:r>
      <w:r>
        <w:rPr>
          <w:b/>
        </w:rPr>
        <w:t xml:space="preserve">AND EXPIRATION DATE</w:t>
      </w:r>
      <w:r>
        <w:rPr/>
        <w:t xml:space="preserve">"</w:t>
      </w:r>
    </w:p>
    <w:p>
      <w:pPr>
        <w:spacing w:before="0" w:after="0" w:line="408" w:lineRule="exact"/>
        <w:ind w:left="0" w:right="0" w:firstLine="576"/>
        <w:jc w:val="left"/>
      </w:pPr>
      <w:r>
        <w:rPr/>
        <w:t xml:space="preserve">On page 124, line 19, after "</w:t>
      </w:r>
      <w:r>
        <w:rPr>
          <w:b/>
        </w:rPr>
        <w:t xml:space="preserve">90.</w:t>
      </w:r>
      <w:r>
        <w:rPr/>
        <w:t xml:space="preserve">" strike all material through "take" and insert "This act takes"</w:t>
      </w:r>
    </w:p>
    <w:p>
      <w:pPr>
        <w:spacing w:before="0" w:after="0" w:line="408" w:lineRule="exact"/>
        <w:ind w:left="0" w:right="0" w:firstLine="576"/>
        <w:jc w:val="left"/>
      </w:pPr>
      <w:r>
        <w:rPr/>
        <w:t xml:space="preserve">On page 124, beginning on line 21, strike all of section 91</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t xml:space="preserve">Beginning on page 230, line 34, strike all of section 129</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t xml:space="preserve">Beginning on page 310, line 29, strike all of section 167</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t xml:space="preserve">On page 322, beginning on line 7, strike all of sections 170 and 171</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(1) Delays the effective date of the act until January 1, 2022. Delays the time period for implementation of various duties imposed on the Administrative Office of the Courts (AOC) until June 30, 2022, and removes a requirement for the AOC to report to the Legislature regarding standards for filing evidence and requirements for private vendors.</w:t>
      </w:r>
    </w:p>
    <w:p>
      <w:pPr>
        <w:spacing w:before="0" w:after="0" w:line="408" w:lineRule="exact"/>
        <w:ind w:left="0" w:right="0" w:firstLine="576"/>
        <w:jc w:val="left"/>
      </w:pPr>
      <w:r>
        <w:rPr/>
        <w:t xml:space="preserve">(2) As a result of delaying the effective date of the act until January 1, 2022, makes technical changes to replace three provisions of the bill that were set to expire on January 1, 2022, with the contents of three companion provisions of the bill that were set to take effect on January 1, 2022, and to remove other provisions that expire on January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44c813c9724a85" /></Relationships>
</file>