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87a6c1d064f01" /></Relationships>
</file>

<file path=word/document.xml><?xml version="1.0" encoding="utf-8"?>
<w:document xmlns:w="http://schemas.openxmlformats.org/wordprocessingml/2006/main">
  <w:body>
    <w:p>
      <w:r>
        <w:rPr>
          <w:b/>
        </w:rPr>
        <w:r>
          <w:rPr/>
          <w:t xml:space="preserve">1326-S</w:t>
        </w:r>
      </w:r>
      <w:r>
        <w:rPr>
          <w:b/>
        </w:rPr>
        <w:t xml:space="preserve"> </w:t>
        <w:t xml:space="preserve">AMH</w:t>
      </w:r>
      <w:r>
        <w:rPr>
          <w:b/>
        </w:rPr>
        <w:t xml:space="preserve"> </w:t>
        <w:r>
          <w:rPr/>
          <w:t xml:space="preserve">POLL</w:t>
        </w:r>
      </w:r>
      <w:r>
        <w:rPr>
          <w:b/>
        </w:rPr>
        <w:t xml:space="preserve"> </w:t>
        <w:r>
          <w:rPr/>
          <w:t xml:space="preserve">H1015.4</w:t>
        </w:r>
      </w:r>
      <w:r>
        <w:rPr>
          <w:b/>
        </w:rPr>
        <w:t xml:space="preserve"> - NOT FOR FLOOR USE</w:t>
      </w:r>
    </w:p>
    <w:p>
      <w:pPr>
        <w:ind w:left="0" w:right="0" w:firstLine="576"/>
      </w:pPr>
    </w:p>
    <w:p>
      <w:pPr>
        <w:spacing w:before="480" w:after="0" w:line="408" w:lineRule="exact"/>
      </w:pPr>
      <w:r>
        <w:rPr>
          <w:b/>
          <w:u w:val="single"/>
        </w:rPr>
        <w:t xml:space="preserve">SHB 1326</w:t>
      </w:r>
      <w:r>
        <w:t xml:space="preserve"> -</w:t>
      </w:r>
      <w:r>
        <w:t xml:space="preserve"> </w:t>
        <w:t xml:space="preserve">H AMD</w:t>
      </w:r>
      <w:r>
        <w:t xml:space="preserve"> </w:t>
      </w:r>
      <w:r>
        <w:rPr>
          <w:b/>
        </w:rPr>
        <w:t xml:space="preserve">152</w:t>
      </w:r>
    </w:p>
    <w:p>
      <w:pPr>
        <w:spacing w:before="0" w:after="0" w:line="408" w:lineRule="exact"/>
        <w:ind w:left="0" w:right="0" w:firstLine="576"/>
        <w:jc w:val="left"/>
      </w:pPr>
      <w:r>
        <w:rPr/>
        <w:t xml:space="preserve">By Representative Pollet</w:t>
      </w:r>
    </w:p>
    <w:p>
      <w:pPr>
        <w:jc w:val="right"/>
      </w:pPr>
      <w:r>
        <w:rPr>
          <w:b/>
        </w:rPr>
        <w:t xml:space="preserve">ADOPTED AS AMENDED 03/06/2021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12 months of being elected or appointed to the office, a coroner or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section 3 of this act. This requirement does not apply to an elected prosecutor acting as the ex officio coroner in a county. All medicolegal investigative personnel employed by any coroner's or medical examiner's office must complete medicolegal forensic investigation training as required under section 3 of this act. A county in which the coroner or county medical examiner has not obtained such certification within 12 months of assuming office is ineligible to receive reimbursement from the death investigations account under RCW 68.50.104.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(1)(a) All elected coroners, appointed coroners, persons serving as coroners, medical examiners, and all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(b) All part-time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forensic investigation training. The commission shall exempt from this requirement any coroner, medical examiner, or medicolegal investigative personnel who has obtained training comparable to the medicolegal forensic investigation training by virtue of educational or professional training or experience.</w:t>
      </w:r>
    </w:p>
    <w:p>
      <w:pPr>
        <w:spacing w:before="0" w:after="0" w:line="408" w:lineRule="exact"/>
        <w:ind w:left="0" w:right="0" w:firstLine="576"/>
        <w:jc w:val="left"/>
      </w:pPr>
      <w:r>
        <w:rPr/>
        <w:t xml:space="preserve">(3) The commission must certify successful completion of the medicolegal forensic investigation training or exemption from the medicolegal training requirement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coroner's or medical examiner's office in which a coroner, person serving as coroner, medical examiner, or other medicolegal investigative employee, who has not otherwise been exempted by the commission, is not certified within 12 months of being elected, appointed, or employed as required by this section, is not eligible for reimbursement from the death investigations account under RCW 68.50.104 until the office is in compliance with all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w:t>
      </w:r>
      <w:r>
        <w:rPr>
          <w:u w:val="single"/>
        </w:rPr>
        <w:t xml:space="preserve">the county legislative authority may determine that</w:t>
      </w:r>
      <w:r>
        <w:rPr/>
        <w:t xml:space="preserve"> no coroner shall be elected and </w:t>
      </w:r>
      <w:r>
        <w:t>((</w:t>
      </w:r>
      <w:r>
        <w:rPr>
          <w:strike/>
        </w:rPr>
        <w:t xml:space="preserve">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w:t>
      </w:r>
      <w:r>
        <w:rPr>
          <w:u w:val="single"/>
        </w:rPr>
        <w:t xml:space="preserve">instead appoint a coroner</w:t>
      </w:r>
      <w:r>
        <w:rPr/>
        <w:t xml:space="preserve">.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sheriff,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sheriff, nineteen thousand five hundred dollars;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sheriff, seventeen thousand six hundred dollars;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sheriff, fourteen thousand nine hundred dollars;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sheriff, thirteen thousand eight hundred dollars;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sheriff, twelve thousand one hundred dollars; assessor, twelve thousand one hundred dollars; </w:t>
      </w:r>
      <w:r>
        <w:t>((</w:t>
      </w:r>
      <w:r>
        <w:rPr>
          <w:strike/>
        </w:rPr>
        <w:t xml:space="preserve">and</w:t>
      </w:r>
      <w:r>
        <w:t>))</w:t>
      </w:r>
      <w:r>
        <w:rPr/>
        <w:t xml:space="preserve"> members of the county legislative authority, eleven thousand dollars; </w:t>
      </w:r>
      <w:r>
        <w:rPr>
          <w:u w:val="single"/>
        </w:rPr>
        <w:t xml:space="preserve">and coroner, $11,000 or on a per case basis as determined by the county legislative authority;</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nine thousand four hundred dollars; </w:t>
      </w:r>
      <w:r>
        <w:rPr>
          <w:u w:val="single"/>
        </w:rPr>
        <w:t xml:space="preserve">and coroner, $9,400 or on a per case basis as determined by the county legislative authority;</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seven thousand dollars; </w:t>
      </w:r>
      <w:r>
        <w:rPr>
          <w:u w:val="single"/>
        </w:rPr>
        <w:t xml:space="preserve">and coroner, $7,000 or on a per case basis as determined by the county legislative authority;</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sheriff, ten thousand five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sheriff, ten thousand five hundred dollars; assessor, nine thousand one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(11) The state of Washington shall contribute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010</w:t>
      </w:r>
      <w:r>
        <w:rPr/>
        <w:t xml:space="preserve"> and 1963 c 178 s 1 are each amended to read as follows:</w:t>
      </w:r>
    </w:p>
    <w:p>
      <w:pPr>
        <w:spacing w:before="0" w:after="0" w:line="408" w:lineRule="exact"/>
        <w:ind w:left="0" w:right="0" w:firstLine="576"/>
        <w:jc w:val="left"/>
      </w:pPr>
      <w:r>
        <w:rPr/>
        <w:t xml:space="preserve">The jurisdiction of bodies of all deceased persons who come to their death suddenly when in apparent good health without medical attendance within the thirty-six hours preceding death; or where the circumstances of death indicate death was caused by unnatural or unlawful means; or where death occurs under suspicious circumstances; or where a coroner's autopsy or postmortem or coroner's inquest is to be held; or where death results from unknown or obscure causes, or where death occurs within one year following an accident; or where the death is caused by any violence whatsoever, or where death results from a known or suspected abortion; whether self-induced or otherwise; where death apparently results from drowning, hanging, burns, electrocution, gunshot wounds, stabs or cuts, lightning, starvation, radiation, exposure, alcoholism, narcotics or other addictions, tetanus, strangulations, suffocation or smothering; or where death is due to premature birth or still birth; or where death is due to a violent contagious disease or suspected contagious disease which may be a public health hazard; or where death results from alleged rape, carnal knowledge or sodomy, where death occurs in a jail or prison; where a body is found dead or is not claimed by relatives or friends, is hereby vested in the county coroner </w:t>
      </w:r>
      <w:r>
        <w:rPr>
          <w:u w:val="single"/>
        </w:rPr>
        <w:t xml:space="preserve">or medical examiner</w:t>
      </w:r>
      <w:r>
        <w:rPr/>
        <w:t xml:space="preserve">, which bodies may be removed and placed in the morgue under such rules as are adopted by the coroner </w:t>
      </w:r>
      <w:r>
        <w:rPr>
          <w:u w:val="single"/>
        </w:rPr>
        <w:t xml:space="preserve">or medical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30</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u w:val="single"/>
        </w:rPr>
        <w:t xml:space="preserve">(4) Where the county coroner's office or county medical examiner's office is not accredited pursuant to section 2 of this act, or a coroner, medical examiner, or other medicolegal investigative employee is not certified as required by sections 1 and 3 of this act, the state treasurer's office shall withhold autopsy reimbursement funds until accreditation under section 2 of this act or compliance with sections 1 and 3 of this act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a county legislative authority in a county with fewer than 40,000 people to decide to appoint a coroner, instead of electing one, once the elected prosecutor ceases acting as ex-officio coroner in such a county on January 1, 2025.</w:t>
      </w:r>
    </w:p>
    <w:p>
      <w:pPr>
        <w:spacing w:before="0" w:after="0" w:line="408" w:lineRule="exact"/>
        <w:ind w:left="0" w:right="0" w:firstLine="576"/>
        <w:jc w:val="left"/>
      </w:pPr>
      <w:r>
        <w:rPr/>
        <w:t xml:space="preserve">(2) Allows a county to enter into an interlocal agreement with an adjoining county for the provision of coroner or medical examiner services.</w:t>
      </w:r>
    </w:p>
    <w:p>
      <w:pPr>
        <w:spacing w:before="0" w:after="0" w:line="408" w:lineRule="exact"/>
        <w:ind w:left="0" w:right="0" w:firstLine="576"/>
        <w:jc w:val="left"/>
      </w:pPr>
      <w:r>
        <w:rPr/>
        <w:t xml:space="preserve">(3) Provides minimum salaries for elected coroners in counties with under 40,000 people, and allows a county legislative authority to alternatively set the salary on a per case basis in such counties, as of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de002aed746f1" /></Relationships>
</file>