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26c01312f48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1486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MOSB</w:t>
        </w:r>
      </w:r>
      <w:r>
        <w:rPr>
          <w:b/>
        </w:rPr>
        <w:t xml:space="preserve"> </w:t>
        <w:r>
          <w:rPr/>
          <w:t xml:space="preserve">H2345.2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1486</w:t>
      </w:r>
      <w:r>
        <w:t xml:space="preserve"> -</w:t>
      </w:r>
      <w:r>
        <w:t xml:space="preserve"> </w:t>
        <w:t xml:space="preserve">H AMD TO H AMD (H-2048.5/22)</w:t>
      </w:r>
      <w:r>
        <w:t xml:space="preserve"> </w:t>
      </w:r>
      <w:r>
        <w:rPr>
          <w:b/>
        </w:rPr>
        <w:t xml:space="preserve">798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Mosbrucker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31, strike all material through "</w:t>
      </w:r>
      <w:r>
        <w:rPr>
          <w:u w:val="single"/>
        </w:rPr>
        <w:t xml:space="preserve">2022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31, strike all material through "</w:t>
      </w:r>
      <w:r>
        <w:rPr>
          <w:u w:val="single"/>
        </w:rPr>
        <w:t xml:space="preserve">2022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application of the good cause quit related to family death or illness to that of an immediate family member, rather than that of a family member as modified by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56fcd7bae404e" /></Relationships>
</file>