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52fde03a449d0" /></Relationships>
</file>

<file path=word/document.xml><?xml version="1.0" encoding="utf-8"?>
<w:document xmlns:w="http://schemas.openxmlformats.org/wordprocessingml/2006/main">
  <w:body>
    <w:p>
      <w:r>
        <w:rPr>
          <w:b/>
        </w:rPr>
        <w:r>
          <w:rPr/>
          <w:t xml:space="preserve">1619-S</w:t>
        </w:r>
      </w:r>
      <w:r>
        <w:rPr>
          <w:b/>
        </w:rPr>
        <w:t xml:space="preserve"> </w:t>
        <w:t xml:space="preserve">AMH</w:t>
      </w:r>
      <w:r>
        <w:rPr>
          <w:b/>
        </w:rPr>
        <w:t xml:space="preserve"> </w:t>
        <w:r>
          <w:rPr/>
          <w:t xml:space="preserve">FITZ</w:t>
        </w:r>
      </w:r>
      <w:r>
        <w:rPr>
          <w:b/>
        </w:rPr>
        <w:t xml:space="preserve"> </w:t>
        <w:r>
          <w:rPr/>
          <w:t xml:space="preserve">H2486.2</w:t>
        </w:r>
      </w:r>
      <w:r>
        <w:rPr>
          <w:b/>
        </w:rPr>
        <w:t xml:space="preserve"> - NOT FOR FLOOR USE</w:t>
      </w:r>
    </w:p>
    <w:p>
      <w:pPr>
        <w:ind w:left="0" w:right="0" w:firstLine="576"/>
      </w:pPr>
    </w:p>
    <w:p>
      <w:pPr>
        <w:spacing w:before="480" w:after="0" w:line="408" w:lineRule="exact"/>
      </w:pPr>
      <w:r>
        <w:rPr>
          <w:b/>
          <w:u w:val="single"/>
        </w:rPr>
        <w:t xml:space="preserve">SHB 1619</w:t>
      </w:r>
      <w:r>
        <w:t xml:space="preserve"> -</w:t>
      </w:r>
      <w:r>
        <w:t xml:space="preserve"> </w:t>
        <w:t xml:space="preserve">H AMD</w:t>
      </w:r>
      <w:r>
        <w:t xml:space="preserve"> </w:t>
      </w:r>
      <w:r>
        <w:rPr>
          <w:b/>
        </w:rPr>
        <w:t xml:space="preserve">847</w:t>
      </w:r>
    </w:p>
    <w:p>
      <w:pPr>
        <w:spacing w:before="0" w:after="0" w:line="408" w:lineRule="exact"/>
        <w:ind w:left="0" w:right="0" w:firstLine="576"/>
        <w:jc w:val="left"/>
      </w:pPr>
      <w:r>
        <w:rPr/>
        <w:t xml:space="preserve">By Representative Fitzgibbon</w:t>
      </w:r>
    </w:p>
    <w:p>
      <w:pPr>
        <w:jc w:val="right"/>
      </w:pPr>
      <w:r>
        <w:rPr>
          <w:b/>
        </w:rPr>
        <w:t xml:space="preserve">ADOPTED 02/10/2022</w:t>
      </w:r>
    </w:p>
    <w:p>
      <w:pPr>
        <w:spacing w:before="0" w:after="0" w:line="408" w:lineRule="exact"/>
        <w:ind w:left="0" w:right="0" w:firstLine="576"/>
        <w:jc w:val="left"/>
      </w:pPr>
      <w:r>
        <w:rPr/>
        <w:t xml:space="preserve">On page 4, beginning on line 24, after "</w:t>
      </w:r>
      <w:r>
        <w:rPr>
          <w:u w:val="single"/>
        </w:rPr>
        <w:t xml:space="preserve">(30)(a)</w:t>
      </w:r>
      <w:r>
        <w:rPr/>
        <w:t xml:space="preserve">" strike all material through "</w:t>
      </w:r>
      <w:r>
        <w:rPr>
          <w:u w:val="single"/>
        </w:rPr>
        <w:t xml:space="preserve">vehicle.</w:t>
      </w:r>
      <w:r>
        <w:rPr/>
        <w:t xml:space="preserve">" on line 33 and insert "</w:t>
      </w:r>
      <w:r>
        <w:rPr>
          <w:u w:val="single"/>
        </w:rPr>
        <w:t xml:space="preserve">"Electric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 and does not include charging cords with NEMA 5-15P or NEMA 5-20P attachment plugs.</w:t>
      </w:r>
      <w:r>
        <w:rPr/>
        <w:t xml:space="preserve">"</w:t>
      </w:r>
    </w:p>
    <w:p>
      <w:pPr>
        <w:spacing w:before="0" w:after="0" w:line="408" w:lineRule="exact"/>
        <w:ind w:left="0" w:right="0" w:firstLine="576"/>
        <w:jc w:val="left"/>
      </w:pPr>
      <w:r>
        <w:rPr/>
        <w:t xml:space="preserve">On page 14, line 9, after "</w:t>
      </w:r>
      <w:r>
        <w:rPr>
          <w:u w:val="single"/>
        </w:rPr>
        <w:t xml:space="preserve">version</w:t>
      </w:r>
      <w:r>
        <w:rPr/>
        <w:t xml:space="preserve">" strike "</w:t>
      </w:r>
      <w:r>
        <w:rPr>
          <w:u w:val="single"/>
        </w:rPr>
        <w:t xml:space="preserve">1.1</w:t>
      </w:r>
      <w:r>
        <w:rPr/>
        <w:t xml:space="preserve">" and insert "</w:t>
      </w:r>
      <w:r>
        <w:rPr>
          <w:u w:val="single"/>
        </w:rPr>
        <w:t xml:space="preserve">1.0</w:t>
      </w:r>
      <w:r>
        <w:rPr/>
        <w:t xml:space="preserve">"</w:t>
      </w:r>
    </w:p>
    <w:p>
      <w:pPr>
        <w:spacing w:before="0" w:after="0" w:line="408" w:lineRule="exact"/>
        <w:ind w:left="0" w:right="0" w:firstLine="576"/>
        <w:jc w:val="left"/>
      </w:pPr>
      <w:r>
        <w:rPr/>
        <w:t xml:space="preserve">On page 16, after line 4, insert the following:</w:t>
      </w:r>
    </w:p>
    <w:p>
      <w:pPr>
        <w:spacing w:before="0" w:after="0" w:line="408" w:lineRule="exact"/>
        <w:ind w:left="0" w:right="0" w:firstLine="576"/>
        <w:jc w:val="left"/>
      </w:pPr>
      <w:r>
        <w:rPr/>
        <w:t xml:space="preserve">"</w:t>
      </w:r>
      <w:r>
        <w:rPr>
          <w:u w:val="single"/>
        </w:rPr>
        <w:t xml:space="preserve">(10) The department may by rule establish a later effective date or suspend enforcement of any of the requirements of this chapter if the department determines that such a delay or suspension is in the public interest.</w:t>
      </w:r>
      <w:r>
        <w:rPr/>
        <w:t xml:space="preserve">"</w:t>
      </w:r>
    </w:p>
    <w:p>
      <w:pPr>
        <w:spacing w:before="0" w:after="0" w:line="408" w:lineRule="exact"/>
        <w:ind w:left="0" w:right="0" w:firstLine="576"/>
        <w:jc w:val="left"/>
      </w:pPr>
      <w:r>
        <w:rPr>
          <w:u w:val="single"/>
        </w:rPr>
        <w:t xml:space="preserve">EFFECT:</w:t>
      </w:r>
      <w:r>
        <w:rPr/>
        <w:t xml:space="preserve"> Authorizes the Department of Commerce to establish a later effective date or suspend enforcement of any appliance efficiency standards if it determines that a delay or suspension is in the public interest. Excludes certain electric vehicle charging cords from the definition of electric vehicle supply equipment (EVSE) that exists prior to January 1, 2024, in a manner that matches the definition of EVSE that applies after January 1, 2024. Requires EVSE manufactured on or after January 1, 2024, to meet Energy Star program specification version 1.0, rather than Energy Star program specification version 1.1.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83fa08085c4ef1" /></Relationships>
</file>