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f10c293194ec1" /></Relationships>
</file>

<file path=word/document.xml><?xml version="1.0" encoding="utf-8"?>
<w:document xmlns:w="http://schemas.openxmlformats.org/wordprocessingml/2006/main">
  <w:body>
    <w:p>
      <w:r>
        <w:rPr>
          <w:b/>
        </w:rPr>
        <w:r>
          <w:rPr/>
          <w:t xml:space="preserve">5054.E</w:t>
        </w:r>
      </w:r>
      <w:r>
        <w:rPr>
          <w:b/>
        </w:rPr>
        <w:t xml:space="preserve"> </w:t>
        <w:t xml:space="preserve">AMH</w:t>
      </w:r>
      <w:r>
        <w:rPr>
          <w:b/>
        </w:rPr>
        <w:t xml:space="preserve"> </w:t>
        <w:r>
          <w:rPr/>
          <w:t xml:space="preserve">PS</w:t>
        </w:r>
      </w:r>
      <w:r>
        <w:rPr>
          <w:b/>
        </w:rPr>
        <w:t xml:space="preserve"> </w:t>
        <w:r>
          <w:rPr/>
          <w:t xml:space="preserve">H2825.1</w:t>
        </w:r>
      </w:r>
      <w:r>
        <w:rPr>
          <w:b/>
        </w:rPr>
        <w:t xml:space="preserve"> - NOT FOR FLOOR USE</w:t>
      </w:r>
    </w:p>
    <w:p>
      <w:pPr>
        <w:ind w:left="0" w:right="0" w:firstLine="576"/>
      </w:pPr>
      <w:r>
        <w:rPr/>
        <w:t xml:space="preserve"> </w:t>
      </w:r>
    </w:p>
    <w:p>
      <w:pPr>
        <w:spacing w:before="480" w:after="0" w:line="408" w:lineRule="exact"/>
      </w:pPr>
      <w:r>
        <w:rPr>
          <w:b/>
          <w:u w:val="single"/>
        </w:rPr>
        <w:t xml:space="preserve">ESB 5054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(62)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w:t>
      </w:r>
      <w:r>
        <w:t>))</w:t>
      </w:r>
      <w:r>
        <w:rPr/>
        <w:t xml:space="preserve"> misdemeanor or gross misdemeanor domestic violence offense, </w:t>
      </w:r>
      <w:r>
        <w:rPr>
          <w:u w:val="single"/>
        </w:rPr>
        <w:t xml:space="preserve">or a violation of RCW 46.61.502 or 46.61.504,</w:t>
      </w:r>
      <w:r>
        <w:rPr/>
        <w:t xml:space="preserve"> shall not be eligible for a deferred prosecution program unless the court makes specific findings pursuant to RCW 10.05.020. A person may not participate in a deferred prosecution program for </w:t>
      </w:r>
      <w:r>
        <w:t>((</w:t>
      </w:r>
      <w:r>
        <w:rPr>
          <w:strike/>
        </w:rPr>
        <w:t xml:space="preserve">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w:t>
      </w:r>
      <w:r>
        <w:t>))</w:t>
      </w:r>
      <w:r>
        <w:rPr/>
        <w:t xml:space="preserve"> a misdemeanor or gross misdemeanor domestic violence offense if he or she has participated in a deferred prosecution program for a prior domestic violence offense. </w:t>
      </w:r>
      <w:r>
        <w:rPr>
          <w:u w:val="single"/>
        </w:rPr>
        <w:t xml:space="preserve">A person charged with a gross misdemeanor violation of RCW 46.61.502 or 46.61.504 may only participate in a deferred prosecution once in his or her lifetime unless the person meets the requirements in subsection (5) of this section.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t xml:space="preserve">(4) A person is not eligible for a deferred prosecution program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(5)(a) A person who has previously participated in a deferred prosecution under this chapter for the person's first gross misdemeanor violation of RCW 46.61.502 or 46.61.504 is eligible to petition the court for a second deferred prosecution for the person's second gross misdemeanor violation of RCW 46.61.502 or 46.61.504 if the court finds that:</w:t>
      </w:r>
    </w:p>
    <w:p>
      <w:pPr>
        <w:spacing w:before="0" w:after="0" w:line="408" w:lineRule="exact"/>
        <w:ind w:left="0" w:right="0" w:firstLine="576"/>
        <w:jc w:val="left"/>
      </w:pPr>
      <w:r>
        <w:rPr>
          <w:u w:val="single"/>
        </w:rPr>
        <w:t xml:space="preserve">(i) The person participated in a previous deferred prosecution for his or her first charged offense of RCW 46.61.502 or 46.61.504;</w:t>
      </w:r>
    </w:p>
    <w:p>
      <w:pPr>
        <w:spacing w:before="0" w:after="0" w:line="408" w:lineRule="exact"/>
        <w:ind w:left="0" w:right="0" w:firstLine="576"/>
        <w:jc w:val="left"/>
      </w:pPr>
      <w:r>
        <w:rPr>
          <w:u w:val="single"/>
        </w:rPr>
        <w:t xml:space="preserve">(ii) The person is eligible to petition the court for a second deferred prosecution for his or her second charged gross misdemeanor offense of RCW 46.61.502 or 46.61.504 pursuant to RCW 10.05.020; and</w:t>
      </w:r>
    </w:p>
    <w:p>
      <w:pPr>
        <w:spacing w:before="0" w:after="0" w:line="408" w:lineRule="exact"/>
        <w:ind w:left="0" w:right="0" w:firstLine="576"/>
        <w:jc w:val="left"/>
      </w:pPr>
      <w:r>
        <w:rPr>
          <w:u w:val="single"/>
        </w:rPr>
        <w:t xml:space="preserve">(iii) The person has no prior out-of-state convictions that qualify as a "prior offense" as defined under RCW 46.61.5055.</w:t>
      </w:r>
    </w:p>
    <w:p>
      <w:pPr>
        <w:spacing w:before="0" w:after="0" w:line="408" w:lineRule="exact"/>
        <w:ind w:left="0" w:right="0" w:firstLine="576"/>
        <w:jc w:val="left"/>
      </w:pPr>
      <w:r>
        <w:rPr>
          <w:u w:val="single"/>
        </w:rPr>
        <w:t xml:space="preserve">(b) If a person petitions the court for a second deferred prosecution while still under the jurisdiction of a court on a first deferred prosecution, the first deferred prosecution shall be revoked before the court considers the person's petition for a second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RCW 43.20A.735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w:t>
      </w:r>
      <w:r>
        <w:t>))</w:t>
      </w:r>
      <w:r>
        <w:rPr/>
        <w:t xml:space="preserve"> </w:t>
      </w:r>
      <w:r>
        <w:rPr>
          <w:u w:val="single"/>
        </w:rPr>
        <w:t xml:space="preserve">a substance use disorder</w:t>
      </w:r>
      <w:r>
        <w:rPr/>
        <w:t xml:space="preserve">,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w:t>
      </w:r>
      <w:r>
        <w:t>((</w:t>
      </w:r>
      <w:r>
        <w:rPr>
          <w:strike/>
        </w:rPr>
        <w:t xml:space="preserve">and</w:t>
      </w:r>
      <w:r>
        <w:t>))</w:t>
      </w:r>
    </w:p>
    <w:p>
      <w:pPr>
        <w:spacing w:before="0" w:after="0" w:line="408" w:lineRule="exact"/>
        <w:ind w:left="0" w:right="0" w:firstLine="576"/>
        <w:jc w:val="left"/>
      </w:pPr>
      <w:r>
        <w:rPr/>
        <w:t xml:space="preserve">(5) Whether the person is amenable to treatment or willing to cooperate with child welfare services</w:t>
      </w:r>
      <w:r>
        <w:rPr>
          <w:u w:val="single"/>
        </w:rPr>
        <w:t xml:space="preserve">; and</w:t>
      </w:r>
    </w:p>
    <w:p>
      <w:pPr>
        <w:spacing w:before="0" w:after="0" w:line="408" w:lineRule="exact"/>
        <w:ind w:left="0" w:right="0" w:firstLine="576"/>
        <w:jc w:val="left"/>
      </w:pPr>
      <w:r>
        <w:rPr>
          <w:u w:val="single"/>
        </w:rPr>
        <w:t xml:space="preserve">(6) With respect to petitions brought for a deferred prosecution of a charge under RCW 46.61.502 or 46.61.504, whether the petitioner is amenable to treatment as demonstrated by completion of residential treatment or completion of a minimum of 18 hours of intensive outpatient treatment. The minimum treatment requirement under this section may be waived if the court finds good cause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t xml:space="preserve">A deferred prosecution program for </w:t>
      </w:r>
      <w:r>
        <w:t>((</w:t>
      </w:r>
      <w:r>
        <w:rPr>
          <w:strike/>
        </w:rPr>
        <w:t xml:space="preserve">alcoholism</w:t>
      </w:r>
      <w:r>
        <w:t>))</w:t>
      </w:r>
      <w:r>
        <w:rPr/>
        <w:t xml:space="preserve"> </w:t>
      </w:r>
      <w:r>
        <w:rPr>
          <w:u w:val="single"/>
        </w:rPr>
        <w:t xml:space="preserve">substance use disorder</w:t>
      </w:r>
      <w:r>
        <w:rPr/>
        <w:t xml:space="preserve">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t xml:space="preserve">(3) Participation in a minimum of two meetings per week of </w:t>
      </w:r>
      <w:r>
        <w:t>((</w:t>
      </w:r>
      <w:r>
        <w:rPr>
          <w:strike/>
        </w:rPr>
        <w:t xml:space="preserve">an alcoholism</w:t>
      </w:r>
      <w:r>
        <w:t>))</w:t>
      </w:r>
      <w:r>
        <w:rPr/>
        <w:t xml:space="preserve"> </w:t>
      </w:r>
      <w:r>
        <w:rPr>
          <w:u w:val="single"/>
        </w:rPr>
        <w:t xml:space="preserve">a substance use disorder</w:t>
      </w:r>
      <w:r>
        <w:rPr/>
        <w:t xml:space="preserve"> self-help recovery support group, as determined by the assessing agency, for the duration of the treatment program;</w:t>
      </w:r>
    </w:p>
    <w:p>
      <w:pPr>
        <w:spacing w:before="0" w:after="0" w:line="408" w:lineRule="exact"/>
        <w:ind w:left="0" w:right="0" w:firstLine="576"/>
        <w:jc w:val="left"/>
      </w:pPr>
      <w:r>
        <w:rPr/>
        <w:t xml:space="preserve">(4) Participation in </w:t>
      </w:r>
      <w:r>
        <w:t>((</w:t>
      </w:r>
      <w:r>
        <w:rPr>
          <w:strike/>
        </w:rPr>
        <w:t xml:space="preserve">an alcoholism</w:t>
      </w:r>
      <w:r>
        <w:t>))</w:t>
      </w:r>
      <w:r>
        <w:rPr/>
        <w:t xml:space="preserve"> </w:t>
      </w:r>
      <w:r>
        <w:rPr>
          <w:u w:val="single"/>
        </w:rPr>
        <w:t xml:space="preserve">a substance use disorder</w:t>
      </w:r>
      <w:r>
        <w:rPr/>
        <w:t xml:space="preserve">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substance use disorder treatment program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w:t>
      </w:r>
      <w:r>
        <w:t>((</w:t>
      </w:r>
      <w:r>
        <w:rPr>
          <w:strike/>
        </w:rPr>
        <w:t xml:space="preserve">If the charge for which deferral is granted relates to operation of a motor vehicle, at least once every six months request from the department of licensing an abstract of the petitioner's driving record; and</w:t>
      </w:r>
    </w:p>
    <w:p>
      <w:pPr>
        <w:spacing w:before="0" w:after="0" w:line="408" w:lineRule="exact"/>
        <w:ind w:left="0" w:right="0" w:firstLine="576"/>
        <w:jc w:val="left"/>
      </w:pPr>
      <w:r>
        <w:rPr>
          <w:strike/>
        </w:rPr>
        <w:t xml:space="preserve">(2)</w:t>
      </w:r>
      <w:r>
        <w:t>))</w:t>
      </w:r>
      <w:r>
        <w:rPr/>
        <w:t xml:space="preserve"> At least once every month make contact with the petitioner or with any agency to which the petitioner has been directed for treatment as a part of the deferral</w:t>
      </w:r>
      <w:r>
        <w:rPr>
          <w:u w:val="single"/>
        </w:rPr>
        <w:t xml:space="preserve">; and</w:t>
      </w:r>
    </w:p>
    <w:p>
      <w:pPr>
        <w:spacing w:before="0" w:after="0" w:line="408" w:lineRule="exact"/>
        <w:ind w:left="0" w:right="0" w:firstLine="576"/>
        <w:jc w:val="left"/>
      </w:pPr>
      <w:r>
        <w:rPr>
          <w:u w:val="single"/>
        </w:rPr>
        <w:t xml:space="preserve">(2) If the charge for which deferred prosecution is granted is a charge of RCW 46.61.502 or 46.61.504:</w:t>
      </w:r>
    </w:p>
    <w:p>
      <w:pPr>
        <w:spacing w:before="0" w:after="0" w:line="408" w:lineRule="exact"/>
        <w:ind w:left="0" w:right="0" w:firstLine="576"/>
        <w:jc w:val="left"/>
      </w:pPr>
      <w:r>
        <w:rPr>
          <w:u w:val="single"/>
        </w:rPr>
        <w:t xml:space="preserve">(a) At least once every three months, request an abstract of the petitioner's driving record;</w:t>
      </w:r>
    </w:p>
    <w:p>
      <w:pPr>
        <w:spacing w:before="0" w:after="0" w:line="408" w:lineRule="exact"/>
        <w:ind w:left="0" w:right="0" w:firstLine="576"/>
        <w:jc w:val="left"/>
      </w:pPr>
      <w:r>
        <w:rPr>
          <w:u w:val="single"/>
        </w:rPr>
        <w:t xml:space="preserve">(b) At least once every month, make contact with the petitioner until treatment is completed;</w:t>
      </w:r>
    </w:p>
    <w:p>
      <w:pPr>
        <w:spacing w:before="0" w:after="0" w:line="408" w:lineRule="exact"/>
        <w:ind w:left="0" w:right="0" w:firstLine="576"/>
        <w:jc w:val="left"/>
      </w:pPr>
      <w:r>
        <w:rPr>
          <w:u w:val="single"/>
        </w:rPr>
        <w:t xml:space="preserve">(c) Review the petitioner's criminal history at a minimum of every 90 days until the end of the deferral period; and</w:t>
      </w:r>
    </w:p>
    <w:p>
      <w:pPr>
        <w:spacing w:before="0" w:after="0" w:line="408" w:lineRule="exact"/>
        <w:ind w:left="0" w:right="0" w:firstLine="576"/>
        <w:jc w:val="left"/>
      </w:pPr>
      <w:r>
        <w:rPr>
          <w:u w:val="single"/>
        </w:rPr>
        <w:t xml:space="preserve">(d)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twenty-four consecutive hours nor more than three hundred sixty-four days. In lieu of the mandatory minimum term of imprisonment required under this subsection (1)(a)(i), the court, in its discretion,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forty-eight consecutive hours nor more than three hundred sixty-four days. In lieu of the mandatory minimum term of imprisonment required under this subsection (1)(b)(i), the court, in its discretion,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one hundred eighty days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sixteen were in the vehicle, the court shall:</w:t>
      </w:r>
    </w:p>
    <w:p>
      <w:pPr>
        <w:spacing w:before="0" w:after="0" w:line="408" w:lineRule="exact"/>
        <w:ind w:left="0" w:right="0" w:firstLine="576"/>
        <w:jc w:val="left"/>
      </w:pPr>
      <w:r>
        <w:rPr/>
        <w:t xml:space="preserve">(a) Order the use of an ignition interlock or other device for an additional twelve months 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to be served consecutively for each passenger under the age of sixteen, and a fine of not less than one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sixteen, and a fine of not less than two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sixteen, and a fine of not less than three thousand dollars and not more than ten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ninety days or until the person is evaluated by a substance use disorder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nine hundred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10, and 18 through 20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11 through 17 of this act take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Adds provisions related to deferred prosecutions in gross misdemeanor impaired driving cases, effective January 1, 2023; specifically:</w:t>
      </w:r>
    </w:p>
    <w:p>
      <w:pPr>
        <w:spacing w:before="0" w:after="0" w:line="408" w:lineRule="exact"/>
        <w:ind w:left="0" w:right="0" w:firstLine="576"/>
        <w:jc w:val="left"/>
      </w:pPr>
      <w:r>
        <w:rPr/>
        <w:t xml:space="preserve">(1) Provides that, generally, a person charged with impaired driving may only participate in a deferred prosecution once in his or her lifetime; however, a person who has previously participated in a deferred prosecution for his or her first charge of impaired driving may participate in a second deferred prosecution for his or her second impaired driving charge if certain criteria are met;</w:t>
      </w:r>
    </w:p>
    <w:p>
      <w:pPr>
        <w:spacing w:before="0" w:after="0" w:line="408" w:lineRule="exact"/>
        <w:ind w:left="0" w:right="0" w:firstLine="576"/>
        <w:jc w:val="left"/>
      </w:pPr>
      <w:r>
        <w:rPr/>
        <w:t xml:space="preserve">(2) Requires a determination of the petitioner's amenability to treatment as demonstrated by completion of residential treatment or at least 18 hours of intensive outpatient treatment, unless waived by the court for good cause;</w:t>
      </w:r>
    </w:p>
    <w:p>
      <w:pPr>
        <w:spacing w:before="0" w:after="0" w:line="408" w:lineRule="exact"/>
        <w:ind w:left="0" w:right="0" w:firstLine="576"/>
        <w:jc w:val="left"/>
      </w:pPr>
      <w:r>
        <w:rPr/>
        <w:t xml:space="preserve">(3) Specifies that the requirement for the court to enter an order prohibiting the petitioner in a deferred prosecution from operating a motor vehicle without a valid driver's license and liability insurance applies specifically to deferred prosecutions for impaired driving;</w:t>
      </w:r>
    </w:p>
    <w:p>
      <w:pPr>
        <w:spacing w:before="0" w:after="0" w:line="408" w:lineRule="exact"/>
        <w:ind w:left="0" w:right="0" w:firstLine="576"/>
        <w:jc w:val="left"/>
      </w:pPr>
      <w:r>
        <w:rPr/>
        <w:t xml:space="preserve">(4) Makes changes to the requirements for supervision of persons participating in a deferred prosecution for impaired driving to require the supervising entity to request an abstract of the person's driving record at least every three months, make contact with the person at least monthly until treatment is completed, review the person's criminal history at least every 90 days until the end of the deferral period, and report known violations of supervision or law and noncompliance with conditions to the court within five days or as soon as practicable;</w:t>
      </w:r>
    </w:p>
    <w:p>
      <w:pPr>
        <w:spacing w:before="0" w:after="0" w:line="408" w:lineRule="exact"/>
        <w:ind w:left="0" w:right="0" w:firstLine="576"/>
        <w:jc w:val="left"/>
      </w:pPr>
      <w:r>
        <w:rPr/>
        <w:t xml:space="preserve">(5) Provides that a deferred prosecution for a second or subsequent impaired driving offense counts as one point toward a defendant's offender score for felony traffic offenses; and</w:t>
      </w:r>
    </w:p>
    <w:p>
      <w:pPr>
        <w:spacing w:before="0" w:after="0" w:line="408" w:lineRule="exact"/>
        <w:ind w:left="0" w:right="0" w:firstLine="576"/>
        <w:jc w:val="left"/>
      </w:pPr>
      <w:r>
        <w:rPr/>
        <w:t xml:space="preserve">(6) Changes terminology to use the term "substance use disorder" in place of references to alcoholism or drug addiction and makes other minor changes to conform underlying statutes to other parts of the code.</w:t>
      </w:r>
    </w:p>
    <w:p>
      <w:pPr>
        <w:spacing w:before="0" w:after="0" w:line="408" w:lineRule="exact"/>
        <w:ind w:left="0" w:right="0" w:firstLine="576"/>
        <w:jc w:val="left"/>
      </w:pPr>
      <w:r>
        <w:rPr/>
        <w:t xml:space="preserve">Reinstates a current law provision requiring court-ordered evaluations of persons who are being considered for a residential Drug Offender Sentencing Alternative to address whether the person's substance use disorder is such that there is a probability that criminal behavior will occur in the future.</w:t>
      </w:r>
    </w:p>
    <w:p>
      <w:pPr>
        <w:spacing w:before="0" w:after="0" w:line="408" w:lineRule="exact"/>
        <w:ind w:left="0" w:right="0" w:firstLine="576"/>
        <w:jc w:val="left"/>
      </w:pPr>
      <w:r>
        <w:rPr/>
        <w:t xml:space="preserve">Establishes a July 1, 2022, effective date for all provisions of the bill other than those related to deferred prosecutions of impaired driving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da9f8ff7c44a7" /></Relationships>
</file>