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5b594c2bb49c0" /></Relationships>
</file>

<file path=word/document.xml><?xml version="1.0" encoding="utf-8"?>
<w:document xmlns:w="http://schemas.openxmlformats.org/wordprocessingml/2006/main">
  <w:body>
    <w:p>
      <w:r>
        <w:rPr>
          <w:b/>
        </w:rPr>
        <w:r>
          <w:rPr/>
          <w:t xml:space="preserve">5101</w:t>
        </w:r>
      </w:r>
      <w:r>
        <w:rPr>
          <w:b/>
        </w:rPr>
        <w:t xml:space="preserve"> </w:t>
        <w:t xml:space="preserve">AMH</w:t>
      </w:r>
      <w:r>
        <w:rPr>
          <w:b/>
        </w:rPr>
        <w:t xml:space="preserve"> </w:t>
        <w:r>
          <w:rPr/>
          <w:t xml:space="preserve">CED</w:t>
        </w:r>
      </w:r>
      <w:r>
        <w:rPr>
          <w:b/>
        </w:rPr>
        <w:t xml:space="preserve"> </w:t>
        <w:r>
          <w:rPr/>
          <w:t xml:space="preserve">H1277.1</w:t>
        </w:r>
      </w:r>
      <w:r>
        <w:rPr>
          <w:b/>
        </w:rPr>
        <w:t xml:space="preserve"> - NOT FOR FLOOR USE</w:t>
      </w:r>
    </w:p>
    <w:p>
      <w:pPr>
        <w:ind w:left="0" w:right="0" w:firstLine="576"/>
      </w:pPr>
    </w:p>
    <w:p>
      <w:pPr>
        <w:spacing w:before="480" w:after="0" w:line="408" w:lineRule="exact"/>
      </w:pPr>
      <w:r>
        <w:rPr>
          <w:b/>
          <w:u w:val="single"/>
        </w:rPr>
        <w:t xml:space="preserve">SB 5101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w:t>
      </w:r>
      <w:r>
        <w:rPr>
          <w:u w:val="single"/>
        </w:rPr>
        <w:t xml:space="preserve">two representatives of federally recognized tribes,</w:t>
      </w:r>
      <w:r>
        <w:rPr/>
        <w:t xml:space="preserve">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maximum Emergency Management Council member limit from 20 to 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8f4fb2259147af" /></Relationships>
</file>