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d1cde42974bb4" /></Relationships>
</file>

<file path=word/document.xml><?xml version="1.0" encoding="utf-8"?>
<w:document xmlns:w="http://schemas.openxmlformats.org/wordprocessingml/2006/main">
  <w:body>
    <w:p>
      <w:r>
        <w:rPr>
          <w:b/>
        </w:rPr>
        <w:r>
          <w:rPr/>
          <w:t xml:space="preserve">5126-S2.E</w:t>
        </w:r>
      </w:r>
      <w:r>
        <w:rPr>
          <w:b/>
        </w:rPr>
        <w:t xml:space="preserve"> </w:t>
        <w:t xml:space="preserve">AMH</w:t>
      </w:r>
      <w:r>
        <w:rPr>
          <w:b/>
        </w:rPr>
        <w:t xml:space="preserve"> </w:t>
        <w:r>
          <w:rPr/>
          <w:t xml:space="preserve">FITZ</w:t>
        </w:r>
      </w:r>
      <w:r>
        <w:rPr>
          <w:b/>
        </w:rPr>
        <w:t xml:space="preserve"> </w:t>
        <w:r>
          <w:rPr/>
          <w:t xml:space="preserve">H1626.2</w:t>
        </w:r>
      </w:r>
      <w:r>
        <w:rPr>
          <w:b/>
        </w:rPr>
        <w:t xml:space="preserve"> - NOT FOR FLOOR USE</w:t>
      </w:r>
    </w:p>
    <w:p>
      <w:pPr>
        <w:ind w:left="0" w:right="0" w:firstLine="576"/>
      </w:pPr>
    </w:p>
    <w:p>
      <w:pPr>
        <w:spacing w:before="480" w:after="0" w:line="408" w:lineRule="exact"/>
      </w:pPr>
      <w:r>
        <w:rPr>
          <w:b/>
          <w:u w:val="single"/>
        </w:rPr>
        <w:t xml:space="preserve">E2SSB 5126</w:t>
      </w:r>
      <w:r>
        <w:t xml:space="preserve"> -</w:t>
      </w:r>
      <w:r>
        <w:t xml:space="preserve"> </w:t>
        <w:t xml:space="preserve">H AMD TO APP COMM AMD (H-1619.1/21)</w:t>
      </w:r>
      <w:r>
        <w:t xml:space="preserve"> </w:t>
      </w:r>
      <w:r>
        <w:rPr>
          <w:b/>
        </w:rPr>
        <w:t xml:space="preserve">754</w:t>
      </w:r>
    </w:p>
    <w:p>
      <w:pPr>
        <w:spacing w:before="0" w:after="0" w:line="408" w:lineRule="exact"/>
        <w:ind w:left="0" w:right="0" w:firstLine="576"/>
        <w:jc w:val="left"/>
      </w:pPr>
      <w:r>
        <w:rPr/>
        <w:t xml:space="preserve">By Representative Fitzgibbon</w:t>
      </w:r>
    </w:p>
    <w:p>
      <w:pPr>
        <w:jc w:val="right"/>
      </w:pPr>
      <w:r>
        <w:rPr>
          <w:b/>
        </w:rPr>
        <w:t xml:space="preserve">ADOPTED 04/23/2021</w:t>
      </w:r>
    </w:p>
    <w:p>
      <w:pPr>
        <w:spacing w:before="0" w:after="0" w:line="408" w:lineRule="exact"/>
        <w:ind w:left="0" w:right="0" w:firstLine="576"/>
        <w:jc w:val="left"/>
      </w:pPr>
      <w:r>
        <w:rPr/>
        <w:t xml:space="preserve">Beginning on page 1, after line 2, strike all material through "affected." on page 73, line 33,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other enacted policies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significant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pursue significant reductions of emissions and pollutants in those communities. The legislature further intends for the department of ecology to conduct environmental justice assessments to ensure that funds and programs created under this chapter provide direct and meaningful benefits to vulnerable populations and overburdened communities. Additionally, the legislature intends to prevent job loss and provide protective measures if workers are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empower the environmental justice council established under RCW 70A.---.--- (section 20, chapter . . ., Laws of 2021 (Engrossed Second Substitute Senate Bill No. 5141)) to provide recommendations for the development and implementation of the program, the distribution of funds, and the establishment of programs, activities, and projects to achieve environmental justice and environmental health goals. The legislature further intends for the department of ecology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section 10 of this act.</w:t>
      </w:r>
    </w:p>
    <w:p>
      <w:pPr>
        <w:spacing w:before="0" w:after="0" w:line="408" w:lineRule="exact"/>
        <w:ind w:left="0" w:right="0" w:firstLine="576"/>
        <w:jc w:val="left"/>
      </w:pPr>
      <w:r>
        <w:rPr/>
        <w:t xml:space="preserve">(23) "Covered entity" means a person that is designated by the department as subject to sections 8 through 24 of this act.</w:t>
      </w:r>
    </w:p>
    <w:p>
      <w:pPr>
        <w:spacing w:before="0" w:after="0" w:line="408" w:lineRule="exact"/>
        <w:ind w:left="0" w:right="0" w:firstLine="576"/>
        <w:jc w:val="left"/>
      </w:pPr>
      <w:r>
        <w:rPr/>
        <w:t xml:space="preserve">(24) "Cumulative environmental health impact" has the same meaning as provided in RCW 70A.---.--- (section 2, chapter . . ., Laws of 2021 (Engrossed Second Substitute Senate Bill No. 5141)).</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 (section 2, chapter . . ., Laws of 2021 (Engrossed Second Substitute Senate Bill No. 5141)).</w:t>
      </w:r>
    </w:p>
    <w:p>
      <w:pPr>
        <w:spacing w:before="0" w:after="0" w:line="408" w:lineRule="exact"/>
        <w:ind w:left="0" w:right="0" w:firstLine="576"/>
        <w:jc w:val="left"/>
      </w:pPr>
      <w:r>
        <w:rPr/>
        <w:t xml:space="preserve">(32) "Environmental harm" has the same meaning as defined in RCW 70A.---.--- (section 2, chapter . . ., Laws of 2021 (Engrossed Second Substitute Senate Bill No. 5141)).</w:t>
      </w:r>
    </w:p>
    <w:p>
      <w:pPr>
        <w:spacing w:before="0" w:after="0" w:line="408" w:lineRule="exact"/>
        <w:ind w:left="0" w:right="0" w:firstLine="576"/>
        <w:jc w:val="left"/>
      </w:pPr>
      <w:r>
        <w:rPr/>
        <w:t xml:space="preserve">(33) "Environmental impacts" has the same meaning as defined in RCW 70A.---.--- (section 2, chapter . . ., Laws of 2021 (Engrossed Second Substitute Senate Bill No. 5141)).</w:t>
      </w:r>
    </w:p>
    <w:p>
      <w:pPr>
        <w:spacing w:before="0" w:after="0" w:line="408" w:lineRule="exact"/>
        <w:ind w:left="0" w:right="0" w:firstLine="576"/>
        <w:jc w:val="left"/>
      </w:pPr>
      <w:r>
        <w:rPr/>
        <w:t xml:space="preserve">(34) "Environmental justice" has the same meaning as defined in RCW 70A.---.--- (section 2, chapter . . ., Laws of 2021 (Engrossed Second Substitute Senate Bill No. 5141)).</w:t>
      </w:r>
    </w:p>
    <w:p>
      <w:pPr>
        <w:spacing w:before="0" w:after="0" w:line="408" w:lineRule="exact"/>
        <w:ind w:left="0" w:right="0" w:firstLine="576"/>
        <w:jc w:val="left"/>
      </w:pPr>
      <w:r>
        <w:rPr/>
        <w:t xml:space="preserve">(35) "Environmental justice assessment" has the same meaning as identified in RCW 70A.---.--- (section 14, chapter . . ., Laws of 2021 (Engrossed Second Substitute Senate Bill No. 5141)).</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 (section 2, chapter . . ., Laws of 2021 (Engrossed Second Substitute Senate Bill No. 5141)).</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 (section 2, chapter . . ., Laws of 2021 (Engrossed Second Substitute Senate Bill No. 5141)).</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 (section 2, chapter . . ., Laws of 2021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section 35 of this act,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the effective date of this section that receives allowances under section 13 of this act must mitigate increases in its emissions of particulate matter in overburdened communities.</w:t>
      </w:r>
    </w:p>
    <w:p>
      <w:pPr>
        <w:spacing w:before="0" w:after="0" w:line="408" w:lineRule="exact"/>
        <w:ind w:left="0" w:right="0" w:firstLine="576"/>
        <w:jc w:val="left"/>
      </w:pPr>
      <w:r>
        <w:rPr/>
        <w:t xml:space="preserve">(4)(a)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Each year or biennium, as appropriate, when allocating funds from the carbon emissions reduction account created in section 27 of this act, the climate investment account created in section 28 of this act, or the air quality and health disparities improvement account created in section 31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 (section 2, chapter . . ., Laws of 2021 (Engrossed Second Substitute Senate Bill No. 5141)).</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section 27 of this act, the climate investment account created in section 28 of this act, or the air quality and health disparities improvement account created in section 31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under section 13 of this act,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and any other agency responsible for the project or activity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under the authority provided under this chapter and other statutory authority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w:t>
      </w:r>
    </w:p>
    <w:p>
      <w:pPr>
        <w:spacing w:before="0" w:after="0" w:line="408" w:lineRule="exact"/>
        <w:ind w:left="0" w:right="0" w:firstLine="576"/>
        <w:jc w:val="left"/>
      </w:pPr>
      <w:r>
        <w:rPr/>
        <w:t xml:space="preserve">(a) Be holistic and address the needs, challenges, and opportunities to meet the climate commitment;</w:t>
      </w:r>
    </w:p>
    <w:p>
      <w:pPr>
        <w:spacing w:before="0" w:after="0" w:line="408" w:lineRule="exact"/>
        <w:ind w:left="0" w:right="0" w:firstLine="576"/>
        <w:jc w:val="left"/>
      </w:pPr>
      <w:r>
        <w:rPr/>
        <w:t xml:space="preserve">(b)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Build increasing climate resilience for at-risk communities and ecosystems through cross-sectoral coordination, strategic planning, and cohesive policies; and</w:t>
      </w:r>
    </w:p>
    <w:p>
      <w:pPr>
        <w:spacing w:before="0" w:after="0" w:line="408" w:lineRule="exact"/>
        <w:ind w:left="0" w:right="0" w:firstLine="576"/>
        <w:jc w:val="left"/>
      </w:pPr>
      <w:r>
        <w:rPr/>
        <w:t xml:space="preserve">(e)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section 22 of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section 18 of this act; and</w:t>
      </w:r>
    </w:p>
    <w:p>
      <w:pPr>
        <w:spacing w:before="0" w:after="0" w:line="408" w:lineRule="exact"/>
        <w:ind w:left="0" w:right="0" w:firstLine="576"/>
        <w:jc w:val="left"/>
      </w:pPr>
      <w:r>
        <w:rPr/>
        <w:t xml:space="preserve">(k) Providing for the allocation of allowances to emissions-intensive, trade-exposed industries pursuant to section 13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section 24 of this act.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at least every four years thereafter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ALLOWANCE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 If the first compliance period is delayed pursuant to section 22(7) of this act, the department shall adjust the annual allowance budgets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section 19 of this act,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does not expire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p>
    <w:p>
      <w:pPr>
        <w:spacing w:before="0" w:after="0" w:line="408" w:lineRule="exact"/>
        <w:ind w:left="0" w:right="0" w:firstLine="576"/>
        <w:jc w:val="left"/>
      </w:pPr>
      <w:r>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t xml:space="preserve">(ii)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(b) Subsection (a) of this subsection does not apply to owners or operators of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this act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22 of this act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the effective date of this section.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0" w:after="0" w:line="408" w:lineRule="exact"/>
        <w:ind w:left="0" w:right="0" w:firstLine="576"/>
        <w:jc w:val="left"/>
      </w:pPr>
      <w:r>
        <w:rPr/>
        <w:t xml:space="preserve">(9)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the effective date of this section and expires no later than the end of the first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CEILING.</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22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emissions limits established under RCW 70A.45.020, as reflected in the annual allowance budgets developed under section 9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FORESTLAND OWNER WORK GROUP.</w:t>
      </w:r>
      <w:r>
        <w:t xml:space="preserve">  </w:t>
      </w:r>
      <w:r>
        <w:rPr/>
        <w:t xml:space="preserve">(1) The department of natural resources must contract with an eligible entity capable of providing public value to the state through the establishment and implementation of a small forestland owner work group. The purpose of the work group is to forward the goals and implementation of this chapter by identifying possible carbon market opportunities including, but not limited to, the provision of offset credits that qualify under section 19 of this act, and other incentive-based greenhouse gas reduction programs that Washington landowners may be able to access, including compliance markets operated by other jurisdictions, voluntary markets, and federal, state, and private programs for forestlands that can be leveraged to achieve carbon reductions.</w:t>
      </w:r>
    </w:p>
    <w:p>
      <w:pPr>
        <w:spacing w:before="0" w:after="0" w:line="408" w:lineRule="exact"/>
        <w:ind w:left="0" w:right="0" w:firstLine="576"/>
        <w:jc w:val="left"/>
      </w:pPr>
      <w:r>
        <w:rPr/>
        <w:t xml:space="preserve">(2) The work group established by the eligible entity under this section must:</w:t>
      </w:r>
    </w:p>
    <w:p>
      <w:pPr>
        <w:spacing w:before="0" w:after="0" w:line="408" w:lineRule="exact"/>
        <w:ind w:left="0" w:right="0" w:firstLine="576"/>
        <w:jc w:val="left"/>
      </w:pPr>
      <w:r>
        <w:rPr/>
        <w:t xml:space="preserve">(a) Provide recommendations for the implementation and funding of a pilot program to develop an aggregator account that will pursue carbon offset projects for small forestland owners in Washington state, including recommendations based on programs established in other jurisdictions;</w:t>
      </w:r>
    </w:p>
    <w:p>
      <w:pPr>
        <w:spacing w:before="0" w:after="0" w:line="408" w:lineRule="exact"/>
        <w:ind w:left="0" w:right="0" w:firstLine="576"/>
        <w:jc w:val="left"/>
      </w:pPr>
      <w:r>
        <w:rPr/>
        <w:t xml:space="preserve">(b) Coordinate with the department on the development of offset protocols related to landowners under section 19(4)(d) of this act;</w:t>
      </w:r>
    </w:p>
    <w:p>
      <w:pPr>
        <w:spacing w:before="0" w:after="0" w:line="408" w:lineRule="exact"/>
        <w:ind w:left="0" w:right="0" w:firstLine="576"/>
        <w:jc w:val="left"/>
      </w:pPr>
      <w:r>
        <w:rPr/>
        <w:t xml:space="preserve">(c) Develop a framework and funding proposals for establishing a program to link interested small forestland owners with incentive-based carbon reducing programs that facilitate adoption of forest practices that increase carbon storage and sequestration in forests and wood products. The framework may include:</w:t>
      </w:r>
    </w:p>
    <w:p>
      <w:pPr>
        <w:spacing w:before="0" w:after="0" w:line="408" w:lineRule="exact"/>
        <w:ind w:left="0" w:right="0" w:firstLine="576"/>
        <w:jc w:val="left"/>
      </w:pPr>
      <w:r>
        <w:rPr/>
        <w:t xml:space="preserve">(i)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(ii) Assisting landowners with access to feasibility analyses, market applications, stand inventories, pilot project support, and other services to reduce the transaction costs and barriers to entry to carbon markets or carbon incentive programs; and</w:t>
      </w:r>
    </w:p>
    <w:p>
      <w:pPr>
        <w:spacing w:before="0" w:after="0" w:line="408" w:lineRule="exact"/>
        <w:ind w:left="0" w:right="0" w:firstLine="576"/>
        <w:jc w:val="left"/>
      </w:pPr>
      <w:r>
        <w:rPr/>
        <w:t xml:space="preserve">(iii) Sharing information with private and other landowners about best practices employed to increase carbon storage and access to incentive programs; and</w:t>
      </w:r>
    </w:p>
    <w:p>
      <w:pPr>
        <w:spacing w:before="0" w:after="0" w:line="408" w:lineRule="exact"/>
        <w:ind w:left="0" w:right="0" w:firstLine="576"/>
        <w:jc w:val="left"/>
      </w:pPr>
      <w:r>
        <w:rPr/>
        <w:t xml:space="preserve">(d) Recommend policies to support the implementation of incentives for participation in carbon markets.</w:t>
      </w:r>
    </w:p>
    <w:p>
      <w:pPr>
        <w:spacing w:before="0" w:after="0" w:line="408" w:lineRule="exact"/>
        <w:ind w:left="0" w:right="0" w:firstLine="576"/>
        <w:jc w:val="left"/>
      </w:pPr>
      <w:r>
        <w:rPr/>
        <w:t xml:space="preserve">(3) The work group must transmit a final report to the department by December 1, 2022, that provides recommendations for incentives, the implementation of incentives, and payment structures necessary to support small forest landowners and any recommendations around extending the work group or making the work group permanent. The department must submit the final report to the legislature, in compliance with RCW 43.01.036, by December 31, 2022.</w:t>
      </w:r>
    </w:p>
    <w:p>
      <w:pPr>
        <w:spacing w:before="0" w:after="0" w:line="408" w:lineRule="exact"/>
        <w:ind w:left="0" w:right="0" w:firstLine="576"/>
        <w:jc w:val="left"/>
      </w:pPr>
      <w:r>
        <w:rPr/>
        <w:t xml:space="preserve">(4) For the purposes of this section, "eligible entity" means a nonprofit entity solely based in Washington that can demonstrate a membership of at least 1000 small forestland owners and that has, as part of its mission, the promotion of the sustainable stewardship of family forestlands.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section 10 of this act.</w:t>
      </w:r>
    </w:p>
    <w:p>
      <w:pPr>
        <w:spacing w:before="0" w:after="0" w:line="408" w:lineRule="exact"/>
        <w:ind w:left="0" w:right="0" w:firstLine="576"/>
        <w:jc w:val="left"/>
      </w:pPr>
      <w:r>
        <w:rPr/>
        <w:t xml:space="preserve">(3)(a) A covered entity with a facility eligible for use of price ceiling units under section 18 of this act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In order to coordinate and synchronize the cap and invest program established under this chapter with other transportation-related investments, this section does not take effect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the natural climate solutions account created in section 30 of this act, and the air quality and health disparities improvement account created in section 31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section 5 of this act.</w:t>
      </w:r>
    </w:p>
    <w:p>
      <w:pPr>
        <w:spacing w:before="0" w:after="0" w:line="408" w:lineRule="exact"/>
        <w:ind w:left="0" w:right="0" w:firstLine="576"/>
        <w:jc w:val="left"/>
      </w:pPr>
      <w:r>
        <w:rPr/>
        <w:t xml:space="preserve">(5) No expenditures may be made from the carbon emissions reduction account created in section 27 of this act, the climate investment account created in section 28 of this act, or the air quality and health disparities improvement account created in section 31 of this act if, by April 1, 2023, the legislature has not considered and enacted request legislation brought forth by the department under section 8 of this act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 (section 5, chapter . . ., Laws of 2021 (Second Substitute House Bill No. 1168));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 QUALITY AND HEALTH DISPARITIES IMPROVEMENT ACCOUNT.</w:t>
      </w:r>
      <w:r>
        <w:t xml:space="preserve">  </w:t>
      </w:r>
      <w:r>
        <w:rPr/>
        <w:t xml:space="preserve">(1) The air quality and health disparities improvement account is created in the state treasury. Moneys in the account may be spent only after appropriation. Expenditures from the account are intended to:</w:t>
      </w:r>
    </w:p>
    <w:p>
      <w:pPr>
        <w:spacing w:before="0" w:after="0" w:line="408" w:lineRule="exact"/>
        <w:ind w:left="0" w:right="0" w:firstLine="576"/>
        <w:jc w:val="left"/>
      </w:pPr>
      <w:r>
        <w:rPr/>
        <w:t xml:space="preserve">(a) Improve air quality through the reduction of criteria pollutants, including through effective air quality monitoring and the establishment of adequate baseline emissions data; and</w:t>
      </w:r>
    </w:p>
    <w:p>
      <w:pPr>
        <w:spacing w:before="0" w:after="0" w:line="408" w:lineRule="exact"/>
        <w:ind w:left="0" w:right="0" w:firstLine="576"/>
        <w:jc w:val="left"/>
      </w:pPr>
      <w:r>
        <w:rPr/>
        <w:t xml:space="preserve">(b) Reduce health disparities in overburdened communities by improving health outcomes through the reduction or elimination of environmental harms and the promotion of environmental benefits.</w:t>
      </w:r>
    </w:p>
    <w:p>
      <w:pPr>
        <w:spacing w:before="0" w:after="0" w:line="408" w:lineRule="exact"/>
        <w:ind w:left="0" w:right="0" w:firstLine="576"/>
        <w:jc w:val="left"/>
      </w:pPr>
      <w:r>
        <w:rPr/>
        <w:t xml:space="preserve">(2) Moneys in the account may be used for either capital budget or transportation budget purposes, or both. Moneys in the account may not be used for projects that would violate tribal treaty rights or result in significant long-term damage to critical habitat or ecological functions. Investments from the account must result in long-term environmental benefits and increased resilience to the impacts of climate change.</w:t>
      </w:r>
    </w:p>
    <w:p>
      <w:pPr>
        <w:spacing w:before="0" w:after="0" w:line="408" w:lineRule="exact"/>
        <w:ind w:left="0" w:right="0" w:firstLine="576"/>
        <w:jc w:val="left"/>
      </w:pPr>
      <w:r>
        <w:rPr/>
        <w:t xml:space="preserve">(3) It is the intent of the legislature that not less than $20,000,000 per biennium be dedicated to the account for the purposes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program or that are most impacted by air pollution, as defined in consultation with the departments of ecology and health and as measured on a census tract scale.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that are covered entities. The categories of industries assessed must include, but are not limited to, electric utilities, natural gas utilities, oil refineries, and other industries classified as emissions-intensive and trade-exposed;</w:t>
      </w:r>
    </w:p>
    <w:p>
      <w:pPr>
        <w:spacing w:before="0" w:after="0" w:line="408" w:lineRule="exact"/>
        <w:ind w:left="0" w:right="0" w:firstLine="576"/>
        <w:jc w:val="left"/>
      </w:pPr>
      <w:r>
        <w:rPr/>
        <w:t xml:space="preserve">(b) An evaluation of the information provided by the department in its 2027 program evaluation under section 9(3) of this act;</w:t>
      </w:r>
    </w:p>
    <w:p>
      <w:pPr>
        <w:spacing w:before="0" w:after="0" w:line="408" w:lineRule="exact"/>
        <w:ind w:left="0" w:right="0" w:firstLine="576"/>
        <w:jc w:val="left"/>
      </w:pPr>
      <w:r>
        <w:rPr/>
        <w:t xml:space="preserve">(c) A summary of the estimated total statewide costs and benefits attributable to the program, including state agency administrative costs and covered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program; and</w:t>
      </w:r>
    </w:p>
    <w:p>
      <w:pPr>
        <w:spacing w:before="0" w:after="0" w:line="408" w:lineRule="exact"/>
        <w:ind w:left="0" w:right="0" w:firstLine="576"/>
        <w:jc w:val="left"/>
      </w:pPr>
      <w:r>
        <w:rPr/>
        <w:t xml:space="preserve">(d) An evaluation of the impacts of the program on low-income households.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38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or a local air authority must issue an enforceable order under this chapter, consistent with section 3(2) (b) and (c) of this act, to all permitted or registered sources operating in overburdened communities when, consistent with section 3(2)(a) of this act, the department determines that criteria pollutants are not being reduced in an overburdened community and the department or local air authority adopts stricter air quality standards, emissions standards, or emissions limitations on criteria pollutants.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or expanded best-in-class facilities with lower carbon emitting processes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and 37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040</w:t>
      </w:r>
      <w:r>
        <w:rPr/>
        <w:t xml:space="preserve"> and 1984 c 223 s 1 are each amended to read as follows:</w:t>
      </w:r>
    </w:p>
    <w:p>
      <w:pPr>
        <w:spacing w:before="0" w:after="0" w:line="408" w:lineRule="exact"/>
        <w:ind w:left="0" w:right="0" w:firstLine="576"/>
        <w:jc w:val="left"/>
      </w:pPr>
      <w:r>
        <w:rPr/>
        <w:t xml:space="preserve">(1) Unless removed at the governor's pleasure, councilmembers shall serve a term ending January 15 of the third year following appointment except that, with respect to members initially appointed, the governor shall designate one member to serve a term ending January 15 of the second year following appointment. Initial appointments to the council shall be made within thirty days of March 9, 1981.</w:t>
      </w:r>
    </w:p>
    <w:p>
      <w:pPr>
        <w:spacing w:before="0" w:after="0" w:line="408" w:lineRule="exact"/>
        <w:ind w:left="0" w:right="0" w:firstLine="576"/>
        <w:jc w:val="left"/>
      </w:pPr>
      <w:r>
        <w:rPr/>
        <w:t xml:space="preserve">(2) Each member shall serve until a successor is appointed, but if a successor is not appointed within sixty days of the beginning of a new term, the member shall be considered reappointed, subject to the consent of the senate.</w:t>
      </w:r>
    </w:p>
    <w:p>
      <w:pPr>
        <w:spacing w:before="0" w:after="0" w:line="408" w:lineRule="exact"/>
        <w:ind w:left="0" w:right="0" w:firstLine="576"/>
        <w:jc w:val="left"/>
      </w:pPr>
      <w:r>
        <w:rPr/>
        <w:t xml:space="preserve">(3) A vacancy on the council shall be filled for the unexpired term by the governor, with the consent of the senate.</w:t>
      </w:r>
    </w:p>
    <w:p>
      <w:pPr>
        <w:spacing w:before="0" w:after="0" w:line="408" w:lineRule="exact"/>
        <w:ind w:left="0" w:right="0" w:firstLine="576"/>
        <w:jc w:val="left"/>
      </w:pPr>
      <w:r>
        <w:rPr/>
        <w:t xml:space="preserve">(4) For the first available appointment and at all times thereafter, one member of Washington's delegation to the council shall reside east of the crest of the Cascade Mountains and one member shall reside west of the crest of the Cascade Mountains</w:t>
      </w:r>
      <w:r>
        <w:rPr>
          <w:u w:val="single"/>
        </w:rPr>
        <w:t xml:space="preserve">, except as follows: Both members may reside on the same side of the Cascade Mountains as long as this deviation does not exceed 12 months in any 10-year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005</w:t>
      </w:r>
      <w:r>
        <w:rPr/>
        <w:t xml:space="preserve"> and 2020 c 120 s 2 and 2020 c 20 s 1397 are each reenacted and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sustainable forestry and the production of forest products,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70A.45.020, participating in the design of a regional multisector market-based system to help achieve those emission reductions, assessing other market strategies to reduce emissions of greenhouse gases, maintaining and enhancing the state's ability to continue to sequester carbon through natural and working lands and forest products,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70A.45.020; (b) minimize the potential to export pollution, jobs, and economic opportunities; (c) support industry sectors that can act as sequesterers of carbon; and (d)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and sequestration portfolio, including the:</w:t>
      </w:r>
    </w:p>
    <w:p>
      <w:pPr>
        <w:spacing w:before="0" w:after="0" w:line="408" w:lineRule="exact"/>
        <w:ind w:left="0" w:right="0" w:firstLine="576"/>
        <w:jc w:val="left"/>
      </w:pPr>
      <w:r>
        <w:rPr/>
        <w:t xml:space="preserve">(a) State's hydroelectric system;</w:t>
      </w:r>
    </w:p>
    <w:p>
      <w:pPr>
        <w:spacing w:before="0" w:after="0" w:line="408" w:lineRule="exact"/>
        <w:ind w:left="0" w:right="0" w:firstLine="576"/>
        <w:jc w:val="left"/>
      </w:pPr>
      <w:r>
        <w:rPr/>
        <w:t xml:space="preserve">(b) Opportunities presented by Washington's abundant forest resources and the associated forest products industry, along with aquatic and agriculture land and the associated industries; and</w:t>
      </w:r>
    </w:p>
    <w:p>
      <w:pPr>
        <w:spacing w:before="0" w:after="0" w:line="408" w:lineRule="exact"/>
        <w:ind w:left="0" w:right="0" w:firstLine="576"/>
        <w:jc w:val="left"/>
      </w:pPr>
      <w:r>
        <w:rPr/>
        <w:t xml:space="preserve">(c)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excluding those from state trust lands, that accrue to the state are created by a market system, they must be used </w:t>
      </w:r>
      <w:r>
        <w:rPr>
          <w:u w:val="single"/>
        </w:rPr>
        <w:t xml:space="preserve">for the purposes established in chapter 70A.--- RCW (the new chapter created in section 38 of this act) and</w:t>
      </w:r>
      <w:r>
        <w:rPr/>
        <w:t xml:space="preserve"> to further the state's efforts to achieve the goals established in RCW 70A.45.020, address the impacts of global warming on affected habitats, species, and communities, promote and invest in industry sectors that act as sequesterers of carbon,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does the following:</w:t>
      </w:r>
    </w:p>
    <w:p>
      <w:pPr>
        <w:spacing w:before="0" w:after="0" w:line="408" w:lineRule="exact"/>
        <w:ind w:left="0" w:right="0" w:firstLine="576"/>
        <w:jc w:val="left"/>
      </w:pPr>
      <w:r>
        <w:rPr/>
        <w:t xml:space="preserve">(1) Clarifies the definition of "overburdened communities."</w:t>
      </w:r>
    </w:p>
    <w:p>
      <w:pPr>
        <w:spacing w:before="0" w:after="0" w:line="408" w:lineRule="exact"/>
        <w:ind w:left="0" w:right="0" w:firstLine="576"/>
        <w:jc w:val="left"/>
      </w:pPr>
      <w:r>
        <w:rPr/>
        <w:t xml:space="preserve">(2) Amends provisions relating to the review of criteria pollutants and greenhouse gas emissions in overburdened communities.</w:t>
      </w:r>
    </w:p>
    <w:p>
      <w:pPr>
        <w:spacing w:before="0" w:after="0" w:line="408" w:lineRule="exact"/>
        <w:ind w:left="0" w:right="0" w:firstLine="576"/>
        <w:jc w:val="left"/>
      </w:pPr>
      <w:r>
        <w:rPr/>
        <w:t xml:space="preserve">(3) Clarifies coverage of imported electricity under the Cap and Invest Program.</w:t>
      </w:r>
    </w:p>
    <w:p>
      <w:pPr>
        <w:spacing w:before="0" w:after="0" w:line="408" w:lineRule="exact"/>
        <w:ind w:left="0" w:right="0" w:firstLine="576"/>
        <w:jc w:val="left"/>
      </w:pPr>
      <w:r>
        <w:rPr/>
        <w:t xml:space="preserve">(4) Clarifies coverage of fuel suppliers under the Cap and Invest Program.</w:t>
      </w:r>
    </w:p>
    <w:p>
      <w:pPr>
        <w:spacing w:before="0" w:after="0" w:line="408" w:lineRule="exact"/>
        <w:ind w:left="0" w:right="0" w:firstLine="576"/>
        <w:jc w:val="left"/>
      </w:pPr>
      <w:r>
        <w:rPr/>
        <w:t xml:space="preserve">(5) Exempts persons who own or operate railroad companies from coverage under the Cap and Invest Program for the first two compliance periods.</w:t>
      </w:r>
    </w:p>
    <w:p>
      <w:pPr>
        <w:spacing w:before="0" w:after="0" w:line="408" w:lineRule="exact"/>
        <w:ind w:left="0" w:right="0" w:firstLine="576"/>
        <w:jc w:val="left"/>
      </w:pPr>
      <w:r>
        <w:rPr/>
        <w:t xml:space="preserve">(6) Amends provisions relating to the siting of facilities under the State Environmental Policy Act.</w:t>
      </w:r>
    </w:p>
    <w:p>
      <w:pPr>
        <w:spacing w:before="0" w:after="0" w:line="408" w:lineRule="exact"/>
        <w:ind w:left="0" w:right="0" w:firstLine="576"/>
        <w:jc w:val="left"/>
      </w:pPr>
      <w:r>
        <w:rPr/>
        <w:t xml:space="preserve">(7) Removes the prohibition against the transfer of auction proceeds to the Carbon Emissions Reduction Account after December 31, 2027, if a clean fuel standard with a carbon intensity reduction of greater than 10 percent is not enacted by that date.</w:t>
      </w:r>
    </w:p>
    <w:p>
      <w:pPr>
        <w:spacing w:before="0" w:after="0" w:line="408" w:lineRule="exact"/>
        <w:ind w:left="0" w:right="0" w:firstLine="576"/>
        <w:jc w:val="left"/>
      </w:pPr>
      <w:r>
        <w:rPr/>
        <w:t xml:space="preserve">(8) Amends provisions relating to the allocation of no cost allowances to emissions-intensive, trade-exposed (EITE) entities.</w:t>
      </w:r>
    </w:p>
    <w:p>
      <w:pPr>
        <w:spacing w:before="0" w:after="0" w:line="408" w:lineRule="exact"/>
        <w:ind w:left="0" w:right="0" w:firstLine="576"/>
        <w:jc w:val="left"/>
      </w:pPr>
      <w:r>
        <w:rPr/>
        <w:t xml:space="preserve">(9) Requires protocols for the allocation of no cost allowances to a new EITE facility that is built on tribal lands or is determined by the Department of Ecology to impact tribal lands and resources to be developed in consultation with the affected tribal nations.</w:t>
      </w:r>
    </w:p>
    <w:p>
      <w:pPr>
        <w:spacing w:before="0" w:after="0" w:line="408" w:lineRule="exact"/>
        <w:ind w:left="0" w:right="0" w:firstLine="576"/>
        <w:jc w:val="left"/>
      </w:pPr>
      <w:r>
        <w:rPr/>
        <w:t xml:space="preserve">(10) Restores language pertaining to the allocation of no cost allowances to electric utilities as it exists in the underlying Senate bill.</w:t>
      </w:r>
    </w:p>
    <w:p>
      <w:pPr>
        <w:spacing w:before="0" w:after="0" w:line="408" w:lineRule="exact"/>
        <w:ind w:left="0" w:right="0" w:firstLine="576"/>
        <w:jc w:val="left"/>
      </w:pPr>
      <w:r>
        <w:rPr/>
        <w:t xml:space="preserve">(11) Removes provisions establishing an offset assistance program for small forestland owners. Adds provisions requiring the Department of Natural Resources to contract with an eligible entity capable of providing public value to the state through the establishment and implementation of a small forestland owner work group.</w:t>
      </w:r>
    </w:p>
    <w:p>
      <w:pPr>
        <w:spacing w:before="0" w:after="0" w:line="408" w:lineRule="exact"/>
        <w:ind w:left="0" w:right="0" w:firstLine="576"/>
        <w:jc w:val="left"/>
      </w:pPr>
      <w:r>
        <w:rPr/>
        <w:t xml:space="preserve">(12) Requires the Department of Ecology to, before entering into a linkage agreement, evaluate and make a finding regarding whether the aggregate number of unused allowances in a linked program would reduce the stringency of Washington's program and the state's ability to meet its greenhouse gas emissions reduction limits.</w:t>
      </w:r>
    </w:p>
    <w:p>
      <w:pPr>
        <w:spacing w:before="0" w:after="0" w:line="408" w:lineRule="exact"/>
        <w:ind w:left="0" w:right="0" w:firstLine="576"/>
        <w:jc w:val="left"/>
      </w:pPr>
      <w:r>
        <w:rPr/>
        <w:t xml:space="preserve">(13) Adds eligible fund uses under the Sustainable Farms and Fields Grant Program to the list of authorized expenditures under the Climate Commitment Account.</w:t>
      </w:r>
    </w:p>
    <w:p>
      <w:pPr>
        <w:spacing w:before="0" w:after="0" w:line="408" w:lineRule="exact"/>
        <w:ind w:left="0" w:right="0" w:firstLine="576"/>
        <w:jc w:val="left"/>
      </w:pPr>
      <w:r>
        <w:rPr/>
        <w:t xml:space="preserve">(14) Adds initiatives to develop a forest health workforce established under RCW 76.04.--- (section 5, chapter . . ., Laws of 2021 (Second Substitute House Bill No. 1168)) to the list of authorized workforce development expenditures under the Climate Commitment Account.</w:t>
      </w:r>
    </w:p>
    <w:p>
      <w:pPr>
        <w:spacing w:before="0" w:after="0" w:line="408" w:lineRule="exact"/>
        <w:ind w:left="0" w:right="0" w:firstLine="576"/>
        <w:jc w:val="left"/>
      </w:pPr>
      <w:r>
        <w:rPr/>
        <w:t xml:space="preserve">(15) Adds initiatives to develop new education programs, emerging fields, or jobs pertaining to the clean energy economy to the list of authorized workforce development expenditures under the Climate Commitment Account.</w:t>
      </w:r>
    </w:p>
    <w:p>
      <w:pPr>
        <w:spacing w:before="0" w:after="0" w:line="408" w:lineRule="exact"/>
        <w:ind w:left="0" w:right="0" w:firstLine="576"/>
        <w:jc w:val="left"/>
      </w:pPr>
      <w:r>
        <w:rPr/>
        <w:t xml:space="preserve">(16) Requires the Joint Legislative Audit and Review Committee to analyze the impacts of the first five years of Cap and Invest Program implementation and submit a report to the Legislature by December 1, 2029.</w:t>
      </w:r>
    </w:p>
    <w:p>
      <w:pPr>
        <w:spacing w:before="0" w:after="0" w:line="408" w:lineRule="exact"/>
        <w:ind w:left="0" w:right="0" w:firstLine="576"/>
        <w:jc w:val="left"/>
      </w:pPr>
      <w:r>
        <w:rPr/>
        <w:t xml:space="preserve">(17) Amends provisions governing the appointment of Washington's members of the Pacific Northwest Electric Power and Conservation Planning Council to allow both members to reside on the same side of the Cascade Mountains, so long as this deviation does not exceed 12 months in any 10-year period.</w:t>
      </w:r>
    </w:p>
    <w:p>
      <w:pPr>
        <w:spacing w:before="0" w:after="0" w:line="408" w:lineRule="exact"/>
        <w:ind w:left="0" w:right="0" w:firstLine="576"/>
        <w:jc w:val="left"/>
      </w:pPr>
      <w:r>
        <w:rPr/>
        <w:t xml:space="preserve">(18) Amends the contingent effective date for compliance obligations tying implementation of the Cap and Invest Program with passage of a separate additive transportation revenue act.</w:t>
      </w:r>
    </w:p>
    <w:p>
      <w:pPr>
        <w:spacing w:before="0" w:after="0" w:line="408" w:lineRule="exact"/>
        <w:ind w:left="0" w:right="0" w:firstLine="576"/>
        <w:jc w:val="left"/>
      </w:pPr>
      <w:r>
        <w:rPr/>
        <w:t xml:space="preserve">(19) Makes technical corrections and changes, including conforming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eb9a1d8814ba8" /></Relationships>
</file>