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01607402247db" /></Relationships>
</file>

<file path=word/document.xml><?xml version="1.0" encoding="utf-8"?>
<w:document xmlns:w="http://schemas.openxmlformats.org/wordprocessingml/2006/main">
  <w:body>
    <w:p>
      <w:r>
        <w:rPr>
          <w:b/>
        </w:rPr>
        <w:r>
          <w:rPr/>
          <w:t xml:space="preserve">5312</w:t>
        </w:r>
      </w:r>
      <w:r>
        <w:rPr>
          <w:b/>
        </w:rPr>
        <w:t xml:space="preserve"> </w:t>
        <w:t xml:space="preserve">AMH</w:t>
      </w:r>
      <w:r>
        <w:rPr>
          <w:b/>
        </w:rPr>
        <w:t xml:space="preserve"> </w:t>
        <w:r>
          <w:rPr/>
          <w:t xml:space="preserve">ENVI</w:t>
        </w:r>
      </w:r>
      <w:r>
        <w:rPr>
          <w:b/>
        </w:rPr>
        <w:t xml:space="preserve"> </w:t>
        <w:r>
          <w:rPr/>
          <w:t xml:space="preserve">H1327.1</w:t>
        </w:r>
      </w:r>
      <w:r>
        <w:rPr>
          <w:b/>
        </w:rPr>
        <w:t xml:space="preserve"> - NOT FOR FLOOR USE</w:t>
      </w:r>
    </w:p>
    <w:p>
      <w:pPr>
        <w:ind w:left="0" w:right="0" w:firstLine="576"/>
      </w:pPr>
    </w:p>
    <w:p>
      <w:pPr>
        <w:spacing w:before="480" w:after="0" w:line="408" w:lineRule="exact"/>
      </w:pPr>
      <w:r>
        <w:rPr>
          <w:b/>
          <w:u w:val="single"/>
        </w:rPr>
        <w:t xml:space="preserve">SB 5312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Appropriations to the growth management planning and environmental review fund established in RCW 36.70A.490 for the purpose of grants to cities to facilitate transit-oriented development may be used to pay for the costs associated with the preparation of state environmental policy act environmental impact statements, planned action ordinances, subarea plans, costs associated with the utilization of other tools under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The department shall prioritize applications for grants to facilitate transit-oriented development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authorize up to six stories of building height;</w:t>
      </w:r>
    </w:p>
    <w:p>
      <w:pPr>
        <w:spacing w:before="0" w:after="0" w:line="408" w:lineRule="exact"/>
        <w:ind w:left="0" w:right="0" w:firstLine="576"/>
        <w:jc w:val="left"/>
      </w:pPr>
      <w:r>
        <w:rPr>
          <w:u w:val="single"/>
        </w:rPr>
        <w:t xml:space="preserve">(d) Plans that authorize ground floor retail with housing above;</w:t>
      </w:r>
    </w:p>
    <w:p>
      <w:pPr>
        <w:spacing w:before="0" w:after="0" w:line="408" w:lineRule="exact"/>
        <w:ind w:left="0" w:right="0" w:firstLine="576"/>
        <w:jc w:val="left"/>
      </w:pPr>
      <w:r>
        <w:rPr>
          <w:u w:val="single"/>
        </w:rPr>
        <w:t xml:space="preserve">(e) Plans in areas that minimize or eliminate on-site parking requirements;</w:t>
      </w:r>
    </w:p>
    <w:p>
      <w:pPr>
        <w:spacing w:before="0" w:after="0" w:line="408" w:lineRule="exact"/>
        <w:ind w:left="0" w:right="0" w:firstLine="576"/>
        <w:jc w:val="left"/>
      </w:pPr>
      <w:r>
        <w:rPr>
          <w:u w:val="single"/>
        </w:rPr>
        <w:t xml:space="preserve">(f) Existence or establishment of incentive zoning, mandatory affordability,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 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2023,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w:t>
      </w:r>
      <w:r>
        <w:t>((</w:t>
      </w:r>
      <w:r>
        <w:rPr>
          <w:strike/>
        </w:rPr>
        <w:t xml:space="preserve">2021</w:t>
      </w:r>
      <w:r>
        <w:t>))</w:t>
      </w:r>
      <w:r>
        <w:rPr/>
        <w:t xml:space="preserve"> </w:t>
      </w:r>
      <w:r>
        <w:rPr>
          <w:u w:val="single"/>
        </w:rPr>
        <w:t xml:space="preserve">2025</w:t>
      </w:r>
      <w:r>
        <w:rPr/>
        <w:t xml:space="preserve">,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the use of appropriations to the Growth Management Planning and Environmental Review Fund to fund grants to cities to pay for certain planning-related costs related to transit-oriented development, including subarea plans and environmental impact statements.</w:t>
      </w:r>
    </w:p>
    <w:p>
      <w:pPr>
        <w:spacing w:before="0" w:after="0" w:line="408" w:lineRule="exact"/>
        <w:ind w:left="0" w:right="0" w:firstLine="576"/>
        <w:jc w:val="left"/>
      </w:pPr>
      <w:r>
        <w:rPr/>
        <w:t xml:space="preserve">(2) Requires the Department of Commerce to prioritize applications for grants to facilitate transit-oriented development to maximize certain specified objectives in the area covered by the grant proposal.</w:t>
      </w:r>
    </w:p>
    <w:p>
      <w:pPr>
        <w:spacing w:before="0" w:after="0" w:line="408" w:lineRule="exact"/>
        <w:ind w:left="0" w:right="0" w:firstLine="576"/>
        <w:jc w:val="left"/>
      </w:pPr>
      <w:r>
        <w:rPr/>
        <w:t xml:space="preserve">(3) Changes the date, from April 1, 2021, to April 1, 2025, by which cities must take certain actions related to increasing housing supply in order to be eligible to apply to the Department of Commerce for planning grants from the Growth Management Planning and Environmental Review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d17c79b4e4f19" /></Relationships>
</file>