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d7978de5c42e8" /></Relationships>
</file>

<file path=word/document.xml><?xml version="1.0" encoding="utf-8"?>
<w:document xmlns:w="http://schemas.openxmlformats.org/wordprocessingml/2006/main">
  <w:body>
    <w:p>
      <w:r>
        <w:rPr>
          <w:b/>
        </w:rPr>
        <w:r>
          <w:rPr/>
          <w:t xml:space="preserve">5531-S.E</w:t>
        </w:r>
      </w:r>
      <w:r>
        <w:rPr>
          <w:b/>
        </w:rPr>
        <w:t xml:space="preserve"> </w:t>
        <w:t xml:space="preserve">AMH</w:t>
      </w:r>
      <w:r>
        <w:rPr>
          <w:b/>
        </w:rPr>
        <w:t xml:space="preserve"> </w:t>
        <w:r>
          <w:rPr/>
          <w:t xml:space="preserve">FIN</w:t>
        </w:r>
      </w:r>
      <w:r>
        <w:rPr>
          <w:b/>
        </w:rPr>
        <w:t xml:space="preserve"> </w:t>
        <w:r>
          <w:rPr/>
          <w:t xml:space="preserve">H2853.3</w:t>
        </w:r>
      </w:r>
      <w:r>
        <w:rPr>
          <w:b/>
        </w:rPr>
        <w:t xml:space="preserve"> - NOT FOR FLOOR USE</w:t>
      </w:r>
    </w:p>
    <w:p>
      <w:pPr>
        <w:ind w:left="0" w:right="0" w:firstLine="576"/>
      </w:pPr>
      <w:r>
        <w:rPr/>
        <w:t xml:space="preserve"> </w:t>
      </w:r>
    </w:p>
    <w:p>
      <w:pPr>
        <w:spacing w:before="480" w:after="0" w:line="408" w:lineRule="exact"/>
      </w:pPr>
      <w:r>
        <w:rPr>
          <w:b/>
          <w:u w:val="single"/>
        </w:rPr>
        <w:t xml:space="preserve">ESSB 5531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03/09/2022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72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(d)(i)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w:t>
      </w:r>
    </w:p>
    <w:p>
      <w:pPr>
        <w:spacing w:before="0" w:after="0" w:line="408" w:lineRule="exact"/>
        <w:ind w:left="0" w:right="0" w:firstLine="576"/>
        <w:jc w:val="left"/>
      </w:pPr>
      <w:r>
        <w:rPr/>
        <w:t xml:space="preserve">(ii) The administrator or the administrator's agent may not exercise the authority provided in (d)(i) of this subsection (2) when the company has conducted a death master file comparison, relevant to the period under examination, in accordance with (c) of this subsection (2) and subsection (3) of this section;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and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the administrator may sell the property (a) not earlier than two years after receipt of property stored in a safe deposit box and presumed abandoned; and (b) not earlier than three years after receipt of all other property presumed abandoned.</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department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 and</w:t>
      </w:r>
    </w:p>
    <w:p>
      <w:pPr>
        <w:spacing w:before="0" w:after="0" w:line="408" w:lineRule="exact"/>
        <w:ind w:left="0" w:right="0" w:firstLine="576"/>
        <w:jc w:val="left"/>
      </w:pPr>
      <w:r>
        <w:rPr/>
        <w:t xml:space="preserve">(b) The administrator reasonably believes the person is entitled to receive the property 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 determination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on or before 90 days after the holder receives the determination from the administrator pursuant to section 1012 of this act or from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an option for determining the presumption of abandonment for a demand, savings, or time deposit, of either: From the later of maturity, if applicable, of the deposit; or the owner's last indication of interest in the deposit.</w:t>
      </w:r>
    </w:p>
    <w:p>
      <w:pPr>
        <w:spacing w:before="0" w:after="0" w:line="408" w:lineRule="exact"/>
        <w:ind w:left="0" w:right="0" w:firstLine="576"/>
        <w:jc w:val="left"/>
      </w:pPr>
      <w:r>
        <w:rPr/>
        <w:t xml:space="preserve">(2) Changes the age of the apparent owner from 70.5 years to 72 years to align with the age for mandatory withdrawals when calculating the presumption of abandonment for tax deferred retirement accounts.</w:t>
      </w:r>
    </w:p>
    <w:p>
      <w:pPr>
        <w:spacing w:before="0" w:after="0" w:line="408" w:lineRule="exact"/>
        <w:ind w:left="0" w:right="0" w:firstLine="576"/>
        <w:jc w:val="left"/>
      </w:pPr>
      <w:r>
        <w:rPr/>
        <w:t xml:space="preserve">(3) Removes the $250 limit on the Department of Revenue's (DOR) authority to return unclaimed property in the absence of a claim when the DOR reasonably believes the apparent owner, as identified in a holder report filed with the DOR, is entitled to receive the property.</w:t>
      </w:r>
    </w:p>
    <w:p>
      <w:pPr>
        <w:spacing w:before="0" w:after="0" w:line="408" w:lineRule="exact"/>
        <w:ind w:left="0" w:right="0" w:firstLine="576"/>
        <w:jc w:val="left"/>
      </w:pPr>
      <w:r>
        <w:rPr/>
        <w:t xml:space="preserve">(4) Modifies the provisions for a timely petition for administrative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9ce84b52884ab3" /></Relationships>
</file>