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185e118924396" /></Relationships>
</file>

<file path=word/document.xml><?xml version="1.0" encoding="utf-8"?>
<w:document xmlns:w="http://schemas.openxmlformats.org/wordprocessingml/2006/main">
  <w:body>
    <w:p>
      <w:r>
        <w:rPr>
          <w:b/>
        </w:rPr>
        <w:r>
          <w:rPr/>
          <w:t xml:space="preserve">5803-S2.E</w:t>
        </w:r>
      </w:r>
      <w:r>
        <w:rPr>
          <w:b/>
        </w:rPr>
        <w:t xml:space="preserve"> </w:t>
        <w:t xml:space="preserve">AMH</w:t>
      </w:r>
      <w:r>
        <w:rPr>
          <w:b/>
        </w:rPr>
        <w:t xml:space="preserve"> </w:t>
        <w:r>
          <w:rPr/>
          <w:t xml:space="preserve">RDAN</w:t>
        </w:r>
      </w:r>
      <w:r>
        <w:rPr>
          <w:b/>
        </w:rPr>
        <w:t xml:space="preserve"> </w:t>
        <w:r>
          <w:rPr/>
          <w:t xml:space="preserve">H2819.3</w:t>
        </w:r>
      </w:r>
      <w:r>
        <w:rPr>
          <w:b/>
        </w:rPr>
        <w:t xml:space="preserve"> - NOT FOR FLOOR USE</w:t>
      </w:r>
    </w:p>
    <w:p>
      <w:pPr>
        <w:ind w:left="0" w:right="0" w:firstLine="576"/>
      </w:pPr>
    </w:p>
    <w:p>
      <w:pPr>
        <w:spacing w:before="480" w:after="0" w:line="408" w:lineRule="exact"/>
      </w:pPr>
      <w:r>
        <w:rPr>
          <w:b/>
          <w:u w:val="single"/>
        </w:rPr>
        <w:t xml:space="preserve">E2SSB 5803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landscapes to identify the sources of wildland fires; identify and implement best practices to reduce the prevalence and intensity of those wildland fires; put those practices in place; and by putting those practices in place, reduce the risk of wildland fires and damage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development of best practices guidelines and to require that electric utilities provide their wildfire mitigation plans to the state in order to promote public transparency and to obtain review of the plans for inclusion of applicable best practices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contract with an independent consultant with experience in developing utility wildfire mitigation plans to recommend a format and a list of elements to be included in electric utility wildfire mitigation plans, including best practices guidance that may apply to each element as appropriate. In developing the format and list of elements, the department shall seek input from the utilities and transportation commission, the energy emergency management office of the department of commerce, the utility wildland fire prevention advisory committee, electric utilities, the state fire marshal, the governor's office of Indian affairs, and the public. By July 1, 2023, the department shall make public a recommended format and list of elements for electric utility wildfire mitigation plans.</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plan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 and</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(3) The recommended format and list of elements developed by the department must be forwarded to the utilities and transportation commission, the energy emergency management office of the department of commerce, and all electric utilities in Washington state for a review period of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public utility district, irrigation district, cooperative, or mutual corporation association.</w:t>
      </w:r>
    </w:p>
    <w:p>
      <w:pPr>
        <w:spacing w:before="0" w:after="0" w:line="408" w:lineRule="exact"/>
        <w:ind w:left="0" w:right="0" w:firstLine="576"/>
        <w:jc w:val="left"/>
      </w:pPr>
      <w:r>
        <w:rPr/>
        <w:t xml:space="preserve">(b) "Electric utility" means: (i) An electrical company as defined in RCW 80.04.010 that is engaged in the business of distributing electricity to one or more electric customers in the state; or (ii) a consumer-owned utility that is engaged in the business of distributing electricity to one or more electric customers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2023, and at a minimum every two years thereafter, each electrical company must review and revise, if appropriate, its wildfire mitigation plan and submit it to the commission. The plan should include a review of specific circumstances of that electrical company and incorporate as appropriate the recommendations developed pursuant to section 2 of this act. The electrical company must submit its plan to the commission and make the plan publicly available. Within six months of submission by the electrical company, the commission shall review the plan and confirm whether or not the plan contains the recommended elements. In reviewing the plan, the commission must consult with the department of natural resources and the energy emergency management office of the department of commerce. The commission's review of an electrical company's wildfire mitigation plan does not relieve an electrical company from proactively managing wildfire risk, including by monitoring emerging practices and technologies, and mitigating and responding to wildfires. The commission is not liable for an electrical company's performance implementing its wildfire mitigation plan. An electrical company may pursue recovery of reasonable costs and investments associated with a wildfire mitigation plan through a proceeding to set rates at the commission. Nothing in this section or sections 2, 4, and 6 of this act may be construed to preclude electrical companies from continuing to develop and implement wildfire mitigation measures. After the commission's review, the electrical company must provide a copy of the plan to the department of natural resources along with a list and description of wildland fires within its customer service area over the previous two years as reported by the department of natural resources. The plan must be posted as specified in section 6 of this act.</w:t>
      </w:r>
    </w:p>
    <w:p>
      <w:pPr>
        <w:spacing w:before="0" w:after="0" w:line="408" w:lineRule="exact"/>
        <w:ind w:left="0" w:right="0" w:firstLine="576"/>
        <w:jc w:val="left"/>
      </w:pPr>
      <w:r>
        <w:rPr/>
        <w:t xml:space="preserve">(2) For the purposes of this section, "electrical company" means a company owned by investors that meets the definition of "corporation"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December 31, 2023, and every two years thereafter, each consumer-owned utility must review and revise, if appropriate, its wildfire mitigation plan. The plan should include a review of specific circumstances of that utility and incorporate as appropriate the recommendations developed pursuant to section 2 of this act. </w:t>
      </w:r>
    </w:p>
    <w:p>
      <w:pPr>
        <w:spacing w:before="0" w:after="0" w:line="408" w:lineRule="exact"/>
        <w:ind w:left="0" w:right="0" w:firstLine="576"/>
        <w:jc w:val="left"/>
      </w:pPr>
      <w:r>
        <w:rPr/>
        <w:t xml:space="preserve">(a) The governing board of each consumer-owned utility shall review the plan and confirm whether the plan contains the recommended elements. Local fire districts must be provided the opportunity to review and provide feedback during this period. After the governing board's review, the utility must provide a copy to the department of natural resources, along with a list and description of wildland fires within its customer service area over the previous two years as reported by the department of natural resources. The plan must be posted as specified in section 6 of this act.</w:t>
      </w:r>
    </w:p>
    <w:p>
      <w:pPr>
        <w:spacing w:before="0" w:after="0" w:line="408" w:lineRule="exact"/>
        <w:ind w:left="0" w:right="0" w:firstLine="576"/>
        <w:jc w:val="left"/>
      </w:pPr>
      <w:r>
        <w:rPr/>
        <w:t xml:space="preserve">(b) Each consumer-owned utility must also provide its plan to the energy emergency management office of the department of commerce for review, which must review the plans and provide feedback within six months for consideration for inclusion in the next plan revision.</w:t>
      </w:r>
    </w:p>
    <w:p>
      <w:pPr>
        <w:spacing w:before="0" w:after="0" w:line="408" w:lineRule="exact"/>
        <w:ind w:left="0" w:right="0" w:firstLine="576"/>
        <w:jc w:val="left"/>
      </w:pPr>
      <w:r>
        <w:rPr/>
        <w:t xml:space="preserve">(c) By December 31, 2022, each utility must provide a copy of their most recent plan to the department of natural resources and it must be posted on a website.</w:t>
      </w:r>
    </w:p>
    <w:p>
      <w:pPr>
        <w:spacing w:before="0" w:after="0" w:line="408" w:lineRule="exact"/>
        <w:ind w:left="0" w:right="0" w:firstLine="576"/>
        <w:jc w:val="left"/>
      </w:pPr>
      <w:r>
        <w:rPr/>
        <w:t xml:space="preserve">(d) By December 31, 2023, the energy emergency management office will be available to provide technical assistance to consumer-owned utilities to include the best practices guidelines in their revision of plans.</w:t>
      </w:r>
    </w:p>
    <w:p>
      <w:pPr>
        <w:spacing w:before="0" w:after="0" w:line="408" w:lineRule="exact"/>
        <w:ind w:left="0" w:right="0" w:firstLine="576"/>
        <w:jc w:val="left"/>
      </w:pPr>
      <w:r>
        <w:rPr/>
        <w:t xml:space="preserve">(2) Two or more abutting utilities may codevelop a wildfire mitigation plan. Wildfire mitigation plans that are codeveloped by more than one utility may identify areas of common implementation, including communication protocols, that will assist in implementing the recommended elements pursuant to section 2 of this act.</w:t>
      </w:r>
    </w:p>
    <w:p>
      <w:pPr>
        <w:spacing w:before="0" w:after="0" w:line="408" w:lineRule="exact"/>
        <w:ind w:left="0" w:right="0" w:firstLine="576"/>
        <w:jc w:val="left"/>
      </w:pPr>
      <w:r>
        <w:rPr/>
        <w:t xml:space="preserve">(3) Nothing in this section prohibits a utility from reviewing or updating its wildfire mitigation plan more often than every two years or requires that the utility submit their plan beyond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 </w:t>
      </w:r>
      <w:r>
        <w:rPr>
          <w:u w:val="single"/>
        </w:rPr>
        <w:t xml:space="preserve">In addition, by July 1, 2023, the department must submit to the appropriate committees of the senate and house of representatives:</w:t>
      </w:r>
    </w:p>
    <w:p>
      <w:pPr>
        <w:spacing w:before="0" w:after="0" w:line="408" w:lineRule="exact"/>
        <w:ind w:left="0" w:right="0" w:firstLine="576"/>
        <w:jc w:val="left"/>
      </w:pPr>
      <w:r>
        <w:rPr>
          <w:u w:val="single"/>
        </w:rPr>
        <w:t xml:space="preserve">(a) A compilation and summary of existing wildfire mitigation plans maintained by electric utilities;</w:t>
      </w:r>
    </w:p>
    <w:p>
      <w:pPr>
        <w:spacing w:before="0" w:after="0" w:line="408" w:lineRule="exact"/>
        <w:ind w:left="0" w:right="0" w:firstLine="576"/>
        <w:jc w:val="left"/>
      </w:pPr>
      <w:r>
        <w:rPr>
          <w:u w:val="single"/>
        </w:rPr>
        <w:t xml:space="preserve">(b) An analysis of the costs and benefits of preparing and maintaining a comprehensive statewide wildland fire risk map that identifies relative risk classes, with detail at a level to assist property owners, local governments, utilities, wildland management agencies, and fire response agencies in taking actions to minimize wildland fire starts and resulting damage. The analysis must also address incorporating the boundaries of the wildland urban interface as mapped pursuant to RCW 19.27.031; and</w:t>
      </w:r>
    </w:p>
    <w:p>
      <w:pPr>
        <w:spacing w:before="0" w:after="0" w:line="408" w:lineRule="exact"/>
        <w:ind w:left="0" w:right="0" w:firstLine="576"/>
        <w:jc w:val="left"/>
      </w:pPr>
      <w:r>
        <w:rPr>
          <w:u w:val="single"/>
        </w:rPr>
        <w:t xml:space="preserve">(c)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department of commerce energy policy division and the emergency management division of the military department.</w:t>
      </w:r>
    </w:p>
    <w:p>
      <w:pPr>
        <w:spacing w:before="0" w:after="0" w:line="408" w:lineRule="exact"/>
        <w:ind w:left="0" w:right="0" w:firstLine="576"/>
        <w:jc w:val="left"/>
      </w:pPr>
      <w:r>
        <w:rPr/>
        <w:t xml:space="preserve">(4) The commissioner or the commissioner's designee must chair the advisory committee created in subsection (1) of this section and must appoint advisory committee members. </w:t>
      </w:r>
      <w:r>
        <w:rPr>
          <w:u w:val="single"/>
        </w:rPr>
        <w:t xml:space="preserve">The advisory committee must include a representative of the energy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and</w:t>
      </w:r>
    </w:p>
    <w:p>
      <w:pPr>
        <w:spacing w:before="0" w:after="0" w:line="408" w:lineRule="exact"/>
        <w:ind w:left="0" w:right="0" w:firstLine="576"/>
        <w:jc w:val="left"/>
      </w:pPr>
      <w:r>
        <w:rPr/>
        <w:t xml:space="preserve">(c) No more than two other persons designated by the commissioner.</w:t>
      </w:r>
    </w:p>
    <w:p>
      <w:pPr>
        <w:spacing w:before="0" w:after="0" w:line="408" w:lineRule="exact"/>
        <w:ind w:left="0" w:right="0" w:firstLine="576"/>
        <w:jc w:val="left"/>
      </w:pPr>
      <w:r>
        <w:rPr/>
        <w:t xml:space="preserve">(5) 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t xml:space="preserve">(6) The commissioner or the commissioner's designee shall convene the initial meeting of the advisory committee. </w:t>
      </w:r>
      <w:r>
        <w:rPr>
          <w:u w:val="single"/>
        </w:rPr>
        <w:t xml:space="preserve">The advisory committee chair must schedule and hold meetings on a regular basis in order to expeditiously accomplish the duties and make recommendations regarding the elements described in subsection (3) of this section.</w:t>
      </w:r>
    </w:p>
    <w:p>
      <w:pPr>
        <w:spacing w:before="0" w:after="0" w:line="408" w:lineRule="exact"/>
        <w:ind w:left="0" w:right="0" w:firstLine="576"/>
        <w:jc w:val="left"/>
      </w:pPr>
      <w:r>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t xml:space="preserve">(8) Participation on the advisory committee created in subsection (1) of this section is strictly voluntary and without compensation.</w:t>
      </w:r>
    </w:p>
    <w:p>
      <w:pPr>
        <w:spacing w:before="0" w:after="0" w:line="408" w:lineRule="exact"/>
        <w:ind w:left="0" w:right="0" w:firstLine="576"/>
        <w:jc w:val="left"/>
      </w:pPr>
      <w:r>
        <w:rPr/>
        <w:t xml:space="preserve">(9)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public website to host electric utility wildfire mitigation plans developed under sections 3 and 4 of this act.</w:t>
      </w:r>
    </w:p>
    <w:p>
      <w:pPr>
        <w:spacing w:before="0" w:after="0" w:line="408" w:lineRule="exact"/>
        <w:ind w:left="0" w:right="0" w:firstLine="576"/>
        <w:jc w:val="left"/>
      </w:pPr>
      <w:r>
        <w:rPr/>
        <w:t xml:space="preserve">(2) Nothing in this act may be construed to preclude electric utilities from continuing to develop and implement their wildfire mitigation plans. Electric utilities are encouraged to submit their 2022 plans to the department's energy emergency management office for inclusion on the website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public utility district, irrigation district, cooperative, or mutual corporation association.</w:t>
      </w:r>
    </w:p>
    <w:p>
      <w:pPr>
        <w:spacing w:before="0" w:after="0" w:line="408" w:lineRule="exact"/>
        <w:ind w:left="0" w:right="0" w:firstLine="576"/>
        <w:jc w:val="left"/>
      </w:pPr>
      <w:r>
        <w:rPr/>
        <w:t xml:space="preserve">(b) "Electric utility" means: (i) An electrical company as defined in RCW 80.04.010 that is engaged in the business of distributing electricity to one or more electric customers in the state; or (ii) a consumer-owned utility that is engaged in the business of distributing electricity to one or more electric customers in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investor-owned electrical companies to review and revise their wildfire mitigation plans by October 31, 2023, rather than December 31, 2023, and at a minimum every two years thereafter, and to submit the plans to the Utilities and Transportation Commission (UTC).</w:t>
      </w:r>
    </w:p>
    <w:p>
      <w:pPr>
        <w:spacing w:before="0" w:after="0" w:line="408" w:lineRule="exact"/>
        <w:ind w:left="0" w:right="0" w:firstLine="576"/>
        <w:jc w:val="left"/>
      </w:pPr>
      <w:r>
        <w:rPr/>
        <w:t xml:space="preserve">Authorizes investor-owned electrical companies to pursue recovery of reasonable costs and investments associated with a wildfire mitigation plan through a proceeding to set rates at the UTC.</w:t>
      </w:r>
    </w:p>
    <w:p>
      <w:pPr>
        <w:spacing w:before="0" w:after="0" w:line="408" w:lineRule="exact"/>
        <w:ind w:left="0" w:right="0" w:firstLine="576"/>
        <w:jc w:val="left"/>
      </w:pPr>
      <w:r>
        <w:rPr/>
        <w:t xml:space="preserve">Changes, from April 1, 2023, to July 1, 2023, the date by which the Department of Natural Resources (DNR) must make public a recommended format and list of elements for electric utility wildfire mitigation plans.</w:t>
      </w:r>
    </w:p>
    <w:p>
      <w:pPr>
        <w:spacing w:before="0" w:after="0" w:line="408" w:lineRule="exact"/>
        <w:ind w:left="0" w:right="0" w:firstLine="576"/>
        <w:jc w:val="left"/>
      </w:pPr>
      <w:r>
        <w:rPr/>
        <w:t xml:space="preserve">Changes, from December 31, 2022, to July 1, 2023, the date by which the DNR must submit to the Legislature its report related to electric utility wildfire mitigation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f2f598fe3426c" /></Relationships>
</file>