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c3bad02314a09" /></Relationships>
</file>

<file path=word/document.xml><?xml version="1.0" encoding="utf-8"?>
<w:document xmlns:w="http://schemas.openxmlformats.org/wordprocessingml/2006/main">
  <w:body>
    <w:p>
      <w:r>
        <w:rPr>
          <w:b/>
        </w:rPr>
        <w:r>
          <w:rPr/>
          <w:t xml:space="preserve">5980-S.E</w:t>
        </w:r>
      </w:r>
      <w:r>
        <w:rPr>
          <w:b/>
        </w:rPr>
        <w:t xml:space="preserve"> </w:t>
        <w:t xml:space="preserve">AMH</w:t>
      </w:r>
      <w:r>
        <w:rPr>
          <w:b/>
        </w:rPr>
        <w:t xml:space="preserve"> </w:t>
        <w:r>
          <w:rPr/>
          <w:t xml:space="preserve">FIN</w:t>
        </w:r>
      </w:r>
      <w:r>
        <w:rPr>
          <w:b/>
        </w:rPr>
        <w:t xml:space="preserve"> </w:t>
        <w:r>
          <w:rPr/>
          <w:t xml:space="preserve">H2996.1</w:t>
        </w:r>
      </w:r>
      <w:r>
        <w:rPr>
          <w:b/>
        </w:rPr>
        <w:t xml:space="preserve"> - NOT FOR FLOOR USE</w:t>
      </w:r>
    </w:p>
    <w:p>
      <w:pPr>
        <w:ind w:left="0" w:right="0" w:firstLine="576"/>
      </w:pPr>
    </w:p>
    <w:p>
      <w:pPr>
        <w:spacing w:before="480" w:after="0" w:line="408" w:lineRule="exact"/>
      </w:pPr>
      <w:r>
        <w:rPr>
          <w:b/>
          <w:u w:val="single"/>
        </w:rPr>
        <w:t xml:space="preserve">ESSB 5980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w:t>
      </w:r>
      <w:r>
        <w:t>((</w:t>
      </w:r>
      <w:r>
        <w:rPr>
          <w:strike/>
        </w:rPr>
        <w:t xml:space="preserve">fifty</w:t>
      </w:r>
      <w:r>
        <w:t>))</w:t>
      </w:r>
      <w:r>
        <w:rPr/>
        <w:t xml:space="preserve"> </w:t>
      </w:r>
      <w:r>
        <w:rPr>
          <w:u w:val="single"/>
        </w:rPr>
        <w:t xml:space="preserve">50</w:t>
      </w:r>
      <w:r>
        <w:rPr/>
        <w:t xml:space="preserve"> percent of their taxable amount under RCW 82.04.255, 82.04.290(2)(a), and 82.04.285, the maximum credit for a taxpayer for a reporting period is </w:t>
      </w:r>
      <w:r>
        <w:t>((</w:t>
      </w:r>
      <w:r>
        <w:rPr>
          <w:strike/>
        </w:rPr>
        <w:t xml:space="preserve">thirty-five dollars</w:t>
      </w:r>
      <w:r>
        <w:t>))</w:t>
      </w:r>
      <w:r>
        <w:rPr/>
        <w:t xml:space="preserve"> </w:t>
      </w:r>
      <w:r>
        <w:rPr>
          <w:u w:val="single"/>
        </w:rPr>
        <w:t xml:space="preserve">$55</w:t>
      </w:r>
      <w:r>
        <w:rPr/>
        <w:t xml:space="preserve"> multiplied by the number of months in the reporting period, as determined under RCW 82.32.045. For a taxpayer that reports at least </w:t>
      </w:r>
      <w:r>
        <w:t>((</w:t>
      </w:r>
      <w:r>
        <w:rPr>
          <w:strike/>
        </w:rPr>
        <w:t xml:space="preserve">fifty</w:t>
      </w:r>
      <w:r>
        <w:t>))</w:t>
      </w:r>
      <w:r>
        <w:rPr/>
        <w:t xml:space="preserve"> </w:t>
      </w:r>
      <w:r>
        <w:rPr>
          <w:u w:val="single"/>
        </w:rPr>
        <w:t xml:space="preserve">50</w:t>
      </w:r>
      <w:r>
        <w:rPr/>
        <w:t xml:space="preserve"> percent of its taxable amount under RCW 82.04.255, 82.04.290(2)(a), and 82.04.285, the maximum credit for a reporting period is </w:t>
      </w:r>
      <w:r>
        <w:t>((</w:t>
      </w:r>
      <w:r>
        <w:rPr>
          <w:strike/>
        </w:rPr>
        <w:t xml:space="preserve">seventy dollars</w:t>
      </w:r>
      <w:r>
        <w:t>))</w:t>
      </w:r>
      <w:r>
        <w:rPr/>
        <w:t xml:space="preserve"> </w:t>
      </w:r>
      <w:r>
        <w:rPr>
          <w:u w:val="single"/>
        </w:rPr>
        <w:t xml:space="preserve">$160</w:t>
      </w:r>
      <w:r>
        <w:rPr/>
        <w:t xml:space="preserve">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reporting periods beginning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exempt from RCW
82.32.805 and 82.32.808."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the business and occupation small business tax credit from the requirements of a tax preference performance statement, a Joint Legislative Audit and Review study, and an automatic expiration.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4e0cb08e54f90" /></Relationships>
</file>