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76295c9954a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S2388.1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23, after "chokehold" strike "or neck restraint"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26, after "section" insert "and the determination made by the criminal justice training commission under subsection (4) of this 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after "(b)" strike all material through "flow" on line 3 and insert ""Lateral vascular neck restraint" means the use of a control technique where pressure is applied to the sides of the neck, using a combination of physiological factors to restrict blood flow to the brain, which may cause the subject to temporarily lose consciousness"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The criminal justice training commission shall conduct a study to determine whether the use of a lateral vascular neck restraint constitutes deadly force, as defined in RCW 9A.16.010. The criminal justice training commission shall publish its findings in a report on its website by December 1, 2021. If the commission determines the use of a lateral vascular neck restraint does not constitute deadly force, the report required under this subsection must include a determination as to the appropriate circumstances for use of a lateral vascular neck restraint by a peace officer."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against the use of neck restraints; modifies the definition of neck restraints; requires the CJTC to conduct a study on the use of lateral vascular neck restraints, publish its findings, and include a determination as to whether a lateral vascular neck restraint constitutes deadly force; requires law enforcement policies to be consistent with the determination by the CJTC.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b843d2fba4d1a" /></Relationships>
</file>