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a8a5f3e341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S2214.1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"limits." insert "</w:t>
      </w:r>
      <w:r>
        <w:rPr>
          <w:u w:val="single"/>
        </w:rPr>
        <w:t xml:space="preserve">A county or a city must provide public notice and a public hearing prior to acquiring any facilities authorized under subsection (2)(a)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28, after "youth" insert "</w:t>
      </w:r>
      <w:r>
        <w:rPr>
          <w:u w:val="single"/>
        </w:rPr>
        <w:t xml:space="preserve">. A county or a city must provide public notice and a public hearing prior to acquiring any facilities authorized under this subsection (3)(d)(ii)(A)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for a county or city to provide public notice and a public hearing prior to acquiring certain facilities with the housing and related services local sales and use tax and the lodging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e711bf46d4b67" /></Relationships>
</file>