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8ee2796bd4b30"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DHIN</w:t>
        </w:r>
      </w:r>
      <w:r>
        <w:rPr>
          <w:b/>
        </w:rPr>
        <w:t xml:space="preserve"> </w:t>
        <w:r>
          <w:rPr/>
          <w:t xml:space="preserve">S2319.2</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w:t>
      </w:r>
      <w:r>
        <w:t xml:space="preserve"> </w:t>
      </w:r>
      <w:r>
        <w:rPr>
          <w:b/>
        </w:rPr>
        <w:t xml:space="preserve">497</w:t>
      </w:r>
    </w:p>
    <w:p>
      <w:pPr>
        <w:spacing w:before="0" w:after="0" w:line="408" w:lineRule="exact"/>
        <w:ind w:left="0" w:right="0" w:firstLine="576"/>
        <w:jc w:val="left"/>
      </w:pPr>
      <w:r>
        <w:rPr/>
        <w:t xml:space="preserve">By Senators Dhingra, Padden</w:t>
      </w:r>
    </w:p>
    <w:p>
      <w:pPr>
        <w:jc w:val="right"/>
      </w:pPr>
      <w:r>
        <w:rPr>
          <w:b/>
        </w:rPr>
        <w:t xml:space="preserve">ADOPTED 03/29/2021</w:t>
      </w:r>
    </w:p>
    <w:p>
      <w:pPr>
        <w:spacing w:before="0" w:after="0" w:line="408" w:lineRule="exact"/>
        <w:ind w:left="0" w:right="0" w:firstLine="576"/>
        <w:jc w:val="left"/>
      </w:pPr>
      <w:r>
        <w:rPr/>
        <w:t xml:space="preserve">Beginning on page 1, line 5,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005</w:t>
      </w:r>
      <w:r>
        <w:rPr/>
        <w:t xml:space="preserve"> and 2020 c 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w:t>
      </w:r>
      <w:r>
        <w:rPr>
          <w:u w:val="single"/>
        </w:rPr>
        <w:t xml:space="preserve">"Association" means the Washington association of sheriffs and police chiefs.</w:t>
      </w:r>
    </w:p>
    <w:p>
      <w:pPr>
        <w:spacing w:before="0" w:after="0" w:line="408" w:lineRule="exact"/>
        <w:ind w:left="0" w:right="0" w:firstLine="576"/>
        <w:jc w:val="left"/>
      </w:pPr>
      <w:r>
        <w:rPr>
          <w:u w:val="single"/>
        </w:rPr>
        <w:t xml:space="preserve">(3)</w:t>
      </w:r>
      <w:r>
        <w:rPr/>
        <w:t xml:space="preserve">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t>((</w:t>
      </w:r>
      <w:r>
        <w:rPr>
          <w:strike/>
        </w:rPr>
        <w:t xml:space="preserve">(4)</w:t>
      </w:r>
      <w:r>
        <w:t>))</w:t>
      </w:r>
      <w:r>
        <w:rPr/>
        <w:t xml:space="preserve"> </w:t>
      </w:r>
      <w:r>
        <w:rPr>
          <w:u w:val="single"/>
        </w:rPr>
        <w:t xml:space="preserve">(5) </w:t>
      </w:r>
      <w:r>
        <w:rPr>
          <w:u w:val="single"/>
        </w:rPr>
        <w:t xml:space="preserve">"Investigational status" means:</w:t>
      </w:r>
    </w:p>
    <w:p>
      <w:pPr>
        <w:spacing w:before="0" w:after="0" w:line="408" w:lineRule="exact"/>
        <w:ind w:left="0" w:right="0" w:firstLine="576"/>
        <w:jc w:val="left"/>
      </w:pPr>
      <w:r>
        <w:rPr>
          <w:u w:val="single"/>
        </w:rPr>
        <w:t xml:space="preserve">(a) The agency case or incident number;</w:t>
      </w:r>
    </w:p>
    <w:p>
      <w:pPr>
        <w:spacing w:before="0" w:after="0" w:line="408" w:lineRule="exact"/>
        <w:ind w:left="0" w:right="0" w:firstLine="576"/>
        <w:jc w:val="left"/>
      </w:pPr>
      <w:r>
        <w:rPr>
          <w:u w:val="single"/>
        </w:rPr>
        <w:t xml:space="preserve">(b) The date the request for forensic examination of the sexual assault kit was submitted to the Washington state patrol crime laboratory;</w:t>
      </w:r>
    </w:p>
    <w:p>
      <w:pPr>
        <w:spacing w:before="0" w:after="0" w:line="408" w:lineRule="exact"/>
        <w:ind w:left="0" w:right="0" w:firstLine="576"/>
        <w:jc w:val="left"/>
      </w:pPr>
      <w:r>
        <w:rPr>
          <w:u w:val="single"/>
        </w:rPr>
        <w:t xml:space="preserve">(c) The date the forensic examination was complete and reported to the law enforcement agency;</w:t>
      </w:r>
    </w:p>
    <w:p>
      <w:pPr>
        <w:spacing w:before="0" w:after="0" w:line="408" w:lineRule="exact"/>
        <w:ind w:left="0" w:right="0" w:firstLine="576"/>
        <w:jc w:val="left"/>
      </w:pPr>
      <w:r>
        <w:rPr>
          <w:u w:val="single"/>
        </w:rPr>
        <w:t xml:space="preserve">(d) Whether the case is open or closed;</w:t>
      </w:r>
    </w:p>
    <w:p>
      <w:pPr>
        <w:spacing w:before="0" w:after="0" w:line="408" w:lineRule="exact"/>
        <w:ind w:left="0" w:right="0" w:firstLine="576"/>
        <w:jc w:val="left"/>
      </w:pPr>
      <w:r>
        <w:rPr>
          <w:u w:val="single"/>
        </w:rPr>
        <w:t xml:space="preserve">(e) Whether the case was reopened as a result of the hit in the combined DNA index system;</w:t>
      </w:r>
    </w:p>
    <w:p>
      <w:pPr>
        <w:spacing w:before="0" w:after="0" w:line="408" w:lineRule="exact"/>
        <w:ind w:left="0" w:right="0" w:firstLine="576"/>
        <w:jc w:val="left"/>
      </w:pPr>
      <w:r>
        <w:rPr>
          <w:u w:val="single"/>
        </w:rPr>
        <w:t xml:space="preserve">(f) For open cases, whether the case remains:</w:t>
      </w:r>
    </w:p>
    <w:p>
      <w:pPr>
        <w:spacing w:before="0" w:after="0" w:line="408" w:lineRule="exact"/>
        <w:ind w:left="0" w:right="0" w:firstLine="576"/>
        <w:jc w:val="left"/>
      </w:pPr>
      <w:r>
        <w:rPr>
          <w:u w:val="single"/>
        </w:rPr>
        <w:t xml:space="preserve">(i) An active investigation;</w:t>
      </w:r>
    </w:p>
    <w:p>
      <w:pPr>
        <w:spacing w:before="0" w:after="0" w:line="408" w:lineRule="exact"/>
        <w:ind w:left="0" w:right="0" w:firstLine="576"/>
        <w:jc w:val="left"/>
      </w:pPr>
      <w:r>
        <w:rPr>
          <w:u w:val="single"/>
        </w:rPr>
        <w:t xml:space="preserve">(ii) Open pending forensic examination results; or</w:t>
      </w:r>
    </w:p>
    <w:p>
      <w:pPr>
        <w:spacing w:before="0" w:after="0" w:line="408" w:lineRule="exact"/>
        <w:ind w:left="0" w:right="0" w:firstLine="576"/>
        <w:jc w:val="left"/>
      </w:pPr>
      <w:r>
        <w:rPr>
          <w:u w:val="single"/>
        </w:rPr>
        <w:t xml:space="preserve">(iii) Open and inactive, in which case the agency must include a brief description as to why the case is inactive; and</w:t>
      </w:r>
    </w:p>
    <w:p>
      <w:pPr>
        <w:spacing w:before="0" w:after="0" w:line="408" w:lineRule="exact"/>
        <w:ind w:left="0" w:right="0" w:firstLine="576"/>
        <w:jc w:val="left"/>
      </w:pPr>
      <w:r>
        <w:rPr>
          <w:u w:val="single"/>
        </w:rPr>
        <w:t xml:space="preserve">(g) For closed cases, whether the case was closed as a result</w:t>
      </w:r>
      <w:r>
        <w:rPr>
          <w:u w:val="single"/>
        </w:rPr>
        <w:t xml:space="preserve"> of:</w:t>
      </w:r>
    </w:p>
    <w:p>
      <w:pPr>
        <w:spacing w:before="0" w:after="0" w:line="408" w:lineRule="exact"/>
        <w:ind w:left="0" w:right="0" w:firstLine="576"/>
        <w:jc w:val="left"/>
      </w:pPr>
      <w:r>
        <w:rPr>
          <w:u w:val="single"/>
        </w:rPr>
        <w:t xml:space="preserve">(i) A referral for prosecution where charges were filed or the prosecutor is reviewing the case;</w:t>
      </w:r>
    </w:p>
    <w:p>
      <w:pPr>
        <w:spacing w:before="0" w:after="0" w:line="408" w:lineRule="exact"/>
        <w:ind w:left="0" w:right="0" w:firstLine="576"/>
        <w:jc w:val="left"/>
      </w:pPr>
      <w:r>
        <w:rPr>
          <w:u w:val="single"/>
        </w:rPr>
        <w:t xml:space="preserve">(ii) A referral for prosecution where the prosecutor declined to file charges based on the case being legally insufficient;</w:t>
      </w:r>
    </w:p>
    <w:p>
      <w:pPr>
        <w:spacing w:before="0" w:after="0" w:line="408" w:lineRule="exact"/>
        <w:ind w:left="0" w:right="0" w:firstLine="576"/>
        <w:jc w:val="left"/>
      </w:pPr>
      <w:r>
        <w:rPr>
          <w:u w:val="single"/>
        </w:rPr>
        <w:t xml:space="preserve">(iii) A referral for prosecution where the prosecutor declined to file charges because the case failed to meet prosecutorial charging standards;</w:t>
      </w:r>
    </w:p>
    <w:p>
      <w:pPr>
        <w:spacing w:before="0" w:after="0" w:line="408" w:lineRule="exact"/>
        <w:ind w:left="0" w:right="0" w:firstLine="576"/>
        <w:jc w:val="left"/>
      </w:pPr>
      <w:r>
        <w:rPr>
          <w:u w:val="single"/>
        </w:rPr>
        <w:t xml:space="preserve">(iv) After reviewing the results of the forensic examination, there was no evidence that a crime occurred, or there was lack of probable cause that a crime occurred;</w:t>
      </w:r>
    </w:p>
    <w:p>
      <w:pPr>
        <w:spacing w:before="0" w:after="0" w:line="408" w:lineRule="exact"/>
        <w:ind w:left="0" w:right="0" w:firstLine="576"/>
        <w:jc w:val="left"/>
      </w:pPr>
      <w:r>
        <w:rPr>
          <w:u w:val="single"/>
        </w:rPr>
        <w:t xml:space="preserve">(v) The inability to locate the victim or lack of victim participation; or</w:t>
      </w:r>
    </w:p>
    <w:p>
      <w:pPr>
        <w:spacing w:before="0" w:after="0" w:line="408" w:lineRule="exact"/>
        <w:ind w:left="0" w:right="0" w:firstLine="576"/>
        <w:jc w:val="left"/>
      </w:pPr>
      <w:r>
        <w:rPr>
          <w:u w:val="single"/>
        </w:rPr>
        <w:t xml:space="preserve">(vi) Any other reason, in which case the agency must include a brief description as to why the case closed.</w:t>
      </w:r>
    </w:p>
    <w:p>
      <w:pPr>
        <w:spacing w:before="0" w:after="0" w:line="408" w:lineRule="exact"/>
        <w:ind w:left="0" w:right="0" w:firstLine="576"/>
        <w:jc w:val="left"/>
      </w:pPr>
      <w:r>
        <w:rPr>
          <w:u w:val="single"/>
        </w:rPr>
        <w:t xml:space="preserve">(6)</w:t>
      </w:r>
      <w:r>
        <w:rPr/>
        <w:t xml:space="preserve">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"Sexual assault kit" includes all evidence collected during a sexual assault medical forensic examination.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"Unreported sexual assault kit" means a sexual assault kit where a law enforcement agency has not received a related report or complaint alleging a sexual assault or other crime has occurred."</w:t>
      </w:r>
    </w:p>
    <w:p>
      <w:pPr>
        <w:spacing w:before="0" w:after="0" w:line="408" w:lineRule="exact"/>
        <w:ind w:left="0" w:right="0" w:firstLine="576"/>
        <w:jc w:val="left"/>
      </w:pPr>
      <w:r>
        <w:rPr/>
        <w:t xml:space="preserve">On page 2, line 39, after "general" strike "may" and insert "shall"</w:t>
      </w:r>
    </w:p>
    <w:p>
      <w:pPr>
        <w:spacing w:before="0" w:after="0" w:line="408" w:lineRule="exact"/>
        <w:ind w:left="0" w:right="0" w:firstLine="576"/>
        <w:jc w:val="left"/>
      </w:pPr>
      <w:r>
        <w:rPr/>
        <w:t xml:space="preserve">On page 3, line 4, after "under" strike "section 1(2)(b) of this act" and insert "RCW 5.70.005(5)"</w:t>
      </w:r>
    </w:p>
    <w:p>
      <w:pPr>
        <w:spacing w:before="0" w:after="0" w:line="408" w:lineRule="exact"/>
        <w:ind w:left="0" w:right="0" w:firstLine="576"/>
        <w:jc w:val="left"/>
      </w:pPr>
      <w:r>
        <w:rPr/>
        <w:t xml:space="preserve">On page 3, line 8, after "the" strike all material through "chiefs" and insert "association"</w:t>
      </w:r>
    </w:p>
    <w:p>
      <w:pPr>
        <w:spacing w:before="0" w:after="0" w:line="408" w:lineRule="exact"/>
        <w:ind w:left="0" w:right="0" w:firstLine="576"/>
        <w:jc w:val="left"/>
      </w:pPr>
      <w:r>
        <w:rPr/>
        <w:t xml:space="preserve">On page 3, after line 14, insert the following:</w:t>
      </w:r>
    </w:p>
    <w:p>
      <w:pPr>
        <w:spacing w:before="0" w:after="0" w:line="408" w:lineRule="exact"/>
        <w:ind w:left="0" w:right="0" w:firstLine="576"/>
        <w:jc w:val="left"/>
      </w:pPr>
      <w:r>
        <w:rPr/>
        <w:t xml:space="preserve">"(3) The attorney general's office shall report quarterly to the association the investigational status of any sexual assault kit under RCW 5.70.050.</w:t>
      </w:r>
    </w:p>
    <w:p>
      <w:pPr>
        <w:spacing w:before="0" w:after="0" w:line="408" w:lineRule="exact"/>
        <w:ind w:left="0" w:right="0" w:firstLine="576"/>
        <w:jc w:val="left"/>
      </w:pPr>
      <w:r>
        <w:rPr/>
        <w:t xml:space="preserve">(4) Beginning in 2022, in consultation with the attorney general's office, the association must submit reports on the information collected pursuant to this section to the governor and appropriate committees of the legislature by January 1st and July 1st of each year."</w:t>
      </w:r>
    </w:p>
    <w:p>
      <w:pPr>
        <w:spacing w:before="0" w:after="0" w:line="408" w:lineRule="exact"/>
        <w:ind w:left="0" w:right="0" w:firstLine="576"/>
        <w:jc w:val="left"/>
      </w:pPr>
      <w:r>
        <w:rPr/>
        <w:t xml:space="preserve">On page 7,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1109</w:t>
      </w:r>
      <w:r>
        <w:t xml:space="preserve"> -</w:t>
      </w:r>
      <w:r>
        <w:t xml:space="preserve"> </w:t>
        <w:t xml:space="preserve">S AMD</w:t>
      </w:r>
      <w:r>
        <w:t xml:space="preserve"> </w:t>
      </w:r>
      <w:r>
        <w:rPr>
          <w:b/>
        </w:rPr>
        <w:t xml:space="preserve">497</w:t>
      </w:r>
    </w:p>
    <w:p>
      <w:pPr>
        <w:spacing w:before="0" w:after="0" w:line="408" w:lineRule="exact"/>
        <w:ind w:left="0" w:right="0" w:firstLine="576"/>
        <w:jc w:val="left"/>
      </w:pPr>
      <w:r>
        <w:rPr/>
        <w:t xml:space="preserve">By Senators Dhingra, Padden</w:t>
      </w:r>
    </w:p>
    <w:p>
      <w:pPr>
        <w:jc w:val="right"/>
      </w:pPr>
      <w:r>
        <w:rPr>
          <w:b/>
        </w:rPr>
        <w:t xml:space="preserve">ADOPTED 03/29/2021</w:t>
      </w:r>
    </w:p>
    <w:p>
      <w:pPr>
        <w:spacing w:before="0" w:after="0" w:line="408" w:lineRule="exact"/>
        <w:ind w:left="0" w:right="0" w:firstLine="576"/>
        <w:jc w:val="left"/>
      </w:pPr>
      <w:r>
        <w:rPr/>
        <w:t xml:space="preserve">On page 1, beginning on line 1 of the title, after "assault;" strike "amending RCW 43.101.278 and 70.125.110; and adding new sections to chapter 5.70 RCW" and insert "amending RCW 5.70.005, 43.101.278, and 70.125.110; adding a new section to chapter 5.70 RCW; and declaring an emergency"</w:t>
      </w:r>
    </w:p>
    <w:p>
      <w:pPr>
        <w:spacing w:before="0" w:after="0" w:line="408" w:lineRule="exact"/>
        <w:ind w:left="0" w:right="0" w:firstLine="576"/>
        <w:jc w:val="left"/>
      </w:pPr>
      <w:r>
        <w:rPr>
          <w:u w:val="single"/>
        </w:rPr>
        <w:t xml:space="preserve">EFFECT:</w:t>
      </w:r>
      <w:r>
        <w:rPr/>
        <w:t xml:space="preserve"> (1) Removes the requirement for the WA Association of Sheriffs and Police Chiefs to collect information on the investigational status of sexual assault cases.</w:t>
      </w:r>
    </w:p>
    <w:p>
      <w:pPr>
        <w:spacing w:before="0" w:after="0" w:line="408" w:lineRule="exact"/>
        <w:ind w:left="0" w:right="0" w:firstLine="576"/>
        <w:jc w:val="left"/>
      </w:pPr>
      <w:r>
        <w:rPr/>
        <w:t xml:space="preserve">(2) The attorney general shall request information from law enforcement where analysis of a sexual assault kit results in a hit in the DNA index system.</w:t>
      </w:r>
    </w:p>
    <w:p>
      <w:pPr>
        <w:spacing w:before="0" w:after="0" w:line="408" w:lineRule="exact"/>
        <w:ind w:left="0" w:right="0" w:firstLine="576"/>
        <w:jc w:val="left"/>
      </w:pPr>
      <w:r>
        <w:rPr/>
        <w:t xml:space="preserve">(3) The AG shall report quarterly to the association on the investigational status of any sexual assault kit.</w:t>
      </w:r>
    </w:p>
    <w:p>
      <w:pPr>
        <w:spacing w:before="0" w:after="0" w:line="408" w:lineRule="exact"/>
        <w:ind w:left="0" w:right="0" w:firstLine="576"/>
        <w:jc w:val="left"/>
      </w:pPr>
      <w:r>
        <w:rPr/>
        <w:t xml:space="preserve">(4) The association must report to the governor and legislature by January 1st and July 1st of each year.</w:t>
      </w:r>
    </w:p>
    <w:p>
      <w:pPr>
        <w:spacing w:before="0" w:after="0" w:line="408" w:lineRule="exact"/>
        <w:ind w:left="0" w:right="0" w:firstLine="576"/>
        <w:jc w:val="left"/>
      </w:pPr>
      <w:r>
        <w:rPr/>
        <w:t xml:space="preserve">(5)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e855613ce418a" /></Relationships>
</file>