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2767530824236"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RAND</w:t>
        </w:r>
      </w:r>
      <w:r>
        <w:rPr>
          <w:b/>
        </w:rPr>
        <w:t xml:space="preserve"> </w:t>
        <w:r>
          <w:rPr/>
          <w:t xml:space="preserve">S2872.2</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w:t>
      </w:r>
      <w:r>
        <w:t xml:space="preserve"> </w:t>
      </w:r>
      <w:r>
        <w:rPr>
          <w:b/>
        </w:rPr>
        <w:t xml:space="preserve">802</w:t>
      </w:r>
    </w:p>
    <w:p>
      <w:pPr>
        <w:spacing w:before="0" w:after="0" w:line="408" w:lineRule="exact"/>
        <w:ind w:left="0" w:right="0" w:firstLine="576"/>
        <w:jc w:val="left"/>
      </w:pPr>
      <w:r>
        <w:rPr/>
        <w:t xml:space="preserve">By Senator Randall</w:t>
      </w:r>
    </w:p>
    <w:p>
      <w:pPr>
        <w:jc w:val="right"/>
      </w:pPr>
      <w:r>
        <w:rPr>
          <w:b/>
        </w:rPr>
        <w:t xml:space="preserve">PULLED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Evaluate public health emergency response and provide recommendations for future response, including coordinating with relevant committees, task forces, and stakeholders to analyze the COVID-19 public health response; and</w:t>
      </w:r>
    </w:p>
    <w:p>
      <w:pPr>
        <w:spacing w:before="0" w:after="0" w:line="408" w:lineRule="exact"/>
        <w:ind w:left="0" w:right="0" w:firstLine="576"/>
        <w:jc w:val="left"/>
      </w:pPr>
      <w:r>
        <w:rPr/>
        <w:t xml:space="preserve">(g) Evaluate the use of foundational public health services funding by the governmental public health system.</w:t>
      </w:r>
    </w:p>
    <w:p>
      <w:pPr>
        <w:spacing w:before="0" w:after="0" w:line="408" w:lineRule="exact"/>
        <w:ind w:left="0" w:right="0" w:firstLine="576"/>
        <w:jc w:val="left"/>
      </w:pPr>
      <w:r>
        <w:rPr/>
        <w:t xml:space="preserve">(2) The public health advisory board shall consist of a representative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member of the county legislative authority from a eastern Washington county selected by a statewide association representing counties;</w:t>
      </w:r>
    </w:p>
    <w:p>
      <w:pPr>
        <w:spacing w:before="0" w:after="0" w:line="408" w:lineRule="exact"/>
        <w:ind w:left="0" w:right="0" w:firstLine="576"/>
        <w:jc w:val="left"/>
      </w:pPr>
      <w:r>
        <w:rPr/>
        <w:t xml:space="preserve">(g) One member of the county legislative authority from a western Washington county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A local health official selected by a statewide association representing Washington local public health officials;</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 (2)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8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7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take effect July 1, 2023."</w:t>
      </w:r>
    </w:p>
    <w:p>
      <w:pPr>
        <w:spacing w:before="480" w:after="0" w:line="408" w:lineRule="exact"/>
      </w:pPr>
      <w:r>
        <w:rPr>
          <w:b/>
          <w:u w:val="single"/>
        </w:rPr>
        <w:t xml:space="preserve">E2SHB 1152</w:t>
      </w:r>
      <w:r>
        <w:t xml:space="preserve"> -</w:t>
      </w:r>
      <w:r>
        <w:t xml:space="preserve"> </w:t>
        <w:t xml:space="preserve">S AMD</w:t>
      </w:r>
      <w:r>
        <w:t xml:space="preserve"> </w:t>
      </w:r>
      <w:r>
        <w:rPr>
          <w:b/>
        </w:rPr>
        <w:t xml:space="preserve">802</w:t>
      </w:r>
    </w:p>
    <w:p>
      <w:pPr>
        <w:spacing w:before="0" w:after="0" w:line="408" w:lineRule="exact"/>
        <w:ind w:left="0" w:right="0" w:firstLine="576"/>
        <w:jc w:val="left"/>
      </w:pPr>
      <w:r>
        <w:rPr/>
        <w:t xml:space="preserve">By Senator Randall</w:t>
      </w:r>
    </w:p>
    <w:p>
      <w:pPr>
        <w:jc w:val="right"/>
      </w:pPr>
      <w:r>
        <w:rPr>
          <w:b/>
        </w:rPr>
        <w:t xml:space="preserve">PULLED 04/11/2021</w:t>
      </w:r>
    </w:p>
    <w:p>
      <w:pPr>
        <w:spacing w:before="0" w:after="0" w:line="408" w:lineRule="exact"/>
        <w:ind w:left="0" w:right="0" w:firstLine="576"/>
        <w:jc w:val="left"/>
      </w:pPr>
      <w:r>
        <w:rPr/>
        <w:t xml:space="preserve">On page 1, line 2 of the title, after "districts;" strike the remainder of the title and insert "amending RCW 70.05.030, 70.05.035, 70.46.020, and 70.46.031; adding a new section to chapter 43.70 RCW; adding a new section to chapter 70.46 RCW; adding a new section to chapter 43.20 RCW; creating a new section; and providing an effective date."</w:t>
      </w:r>
    </w:p>
    <w:p>
      <w:pPr>
        <w:spacing w:before="0" w:after="0" w:line="408" w:lineRule="exact"/>
        <w:ind w:left="0" w:right="0" w:firstLine="576"/>
        <w:jc w:val="left"/>
      </w:pPr>
      <w:r>
        <w:rPr>
          <w:u w:val="single"/>
        </w:rPr>
        <w:t xml:space="preserve">EFFECT:</w:t>
      </w:r>
      <w:r>
        <w:rPr/>
        <w:t xml:space="preserve"> (1) Removes provisions related to the foundational public health services steering committee, the comprehensive public health district centers, regional health officers, funding requirements for shared services, Department of Health reporting requirements, and changes to the notice requirements before a city or county terminates a health department agreement.</w:t>
      </w:r>
    </w:p>
    <w:p>
      <w:pPr>
        <w:spacing w:before="0" w:after="0" w:line="408" w:lineRule="exact"/>
        <w:ind w:left="0" w:right="0" w:firstLine="576"/>
        <w:jc w:val="left"/>
      </w:pPr>
      <w:r>
        <w:rPr/>
        <w:t xml:space="preserve">(2) Maintains the provision creating the public health advisory board.</w:t>
      </w:r>
    </w:p>
    <w:p>
      <w:pPr>
        <w:spacing w:before="0" w:after="0" w:line="408" w:lineRule="exact"/>
        <w:ind w:left="0" w:right="0" w:firstLine="576"/>
        <w:jc w:val="left"/>
      </w:pPr>
      <w:r>
        <w:rPr/>
        <w:t xml:space="preserve">(3) Creates separate seats on the advisory board for associations representing physicians, nurses, and hospitals.</w:t>
      </w:r>
    </w:p>
    <w:p>
      <w:pPr>
        <w:spacing w:before="0" w:after="0" w:line="408" w:lineRule="exact"/>
        <w:ind w:left="0" w:right="0" w:firstLine="576"/>
        <w:jc w:val="left"/>
      </w:pPr>
      <w:r>
        <w:rPr/>
        <w:t xml:space="preserve">(4) Removes the population threshold for requiring changes to the composition of local boards of health and applies the composition requirements to all local health jurisdictions, unless a jurisdiction with all elected board members had a public health advisory committee or board in place on January 1, 2021. Those jurisdictions may maintain their current board composition, but the jurisdiction's advisory board must meet requirements established in the bill by January 1, 2022.</w:t>
      </w:r>
    </w:p>
    <w:p>
      <w:pPr>
        <w:spacing w:before="0" w:after="0" w:line="408" w:lineRule="exact"/>
        <w:ind w:left="0" w:right="0" w:firstLine="576"/>
        <w:jc w:val="left"/>
      </w:pPr>
      <w:r>
        <w:rPr/>
        <w:t xml:space="preserve">(5) Establishes community health advisory board requirements, including duties, membership, and governing structure.</w:t>
      </w:r>
    </w:p>
    <w:p>
      <w:pPr>
        <w:spacing w:before="0" w:after="0" w:line="408" w:lineRule="exact"/>
        <w:ind w:left="0" w:right="0" w:firstLine="576"/>
        <w:jc w:val="left"/>
      </w:pPr>
      <w:r>
        <w:rPr/>
        <w:t xml:space="preserve">(6) Sets an effective date for changes to local boards of health of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18a79e3224223" /></Relationships>
</file>