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1ce2f1bd446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(e) If any material changes are made to the county or city's plan as a result of the process in this section, the county or city must give the public reasonable notice and an opportunity to comment before the changes become effective.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Ensures a public notice and comment period before material changes are made as a result of the government-to-government consultation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5660a9a3b468a" /></Relationships>
</file>