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4b6fb3e924195"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S2929.1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825</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will qualify the city for the annexation sales tax credit.</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825</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beginning on line 7, after "36.70A.190," strike "and 36.70A.210" and insert "36.70A.210, and 36.70A.330"</w:t>
      </w:r>
    </w:p>
    <w:p>
      <w:pPr>
        <w:spacing w:before="0" w:after="0" w:line="408" w:lineRule="exact"/>
        <w:ind w:left="0" w:right="0" w:firstLine="576"/>
        <w:jc w:val="left"/>
      </w:pPr>
      <w:r>
        <w:rPr/>
        <w:t xml:space="preserve">On page 30, line 8, after "36.70A.130;" insert "adding a new section to chapter 35A.14 RCW; adding a new section to chapter 36.70A RCW;"</w:t>
      </w:r>
    </w:p>
    <w:p>
      <w:pPr>
        <w:spacing w:before="0" w:after="0" w:line="408" w:lineRule="exact"/>
        <w:ind w:left="0" w:right="0" w:firstLine="576"/>
        <w:jc w:val="left"/>
      </w:pPr>
      <w:r>
        <w:rPr>
          <w:u w:val="single"/>
        </w:rPr>
        <w:t xml:space="preserve">EFFECT:</w:t>
      </w:r>
      <w:r>
        <w:rPr/>
        <w:t xml:space="preserve"> Allowing cities and counties to form interlocal agreements regarding annexation as part of their land use planning. Creating a safe harbor for cities and counties within the Department of Commerce regarding certain elements of their comprehensive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c6aad1ec140a6" /></Relationships>
</file>