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d7af911747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"July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"December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One year delay on section 4 concerning development of a model policy on law enforcement use of force and de-escalation tactics consistent with section 3 of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d17b850ee447d" /></Relationships>
</file>