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55800cf644a3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1630-S.E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S5163.1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1630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1310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03/01/2022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13, after "misdemeanor." strike all material through "license." on line 20 and insert "</w:t>
      </w:r>
      <w:r>
        <w:t>((</w:t>
      </w:r>
      <w:r>
        <w:rPr>
          <w:strike/>
        </w:rPr>
        <w:t xml:space="preserve">If any person is convicted of a violation of subsection (1)(a) of this section, the person shall have his or her concealed pistol license, if any revoked for a period of three years. Anyone convicted under this subsection is prohibited from applying for a concealed pistol license for a period of three years. The court shall send notice of the revocation to the department of licensing, and the city, town, or county which issued the license.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6, line 27, after "misdemeanor." strike all material through "license." on page 7, line 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31, after "misdemeanor." strike all material through "license." on line 38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that provide for the revocation of concealed pistol licenses for violations of carry or possession prohibitions of firearms.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ca80b9df54ffa" /></Relationships>
</file>