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72adf52d64b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1705-S.E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S5228.1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1705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21,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This section does not apply to any person in possession of an untraceable firearm who has been issued a license under RCW 9.41.070."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29, after "receiver" strike all material through "dealer" on line 31 and insert "is imprinted with a serial number within five business days of receipt by the purchaser"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36, after "receiver" strike all material through "dealer" on line 38 and insert "is imprinted with a serial number within five business days of receipt by the purchaser"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after line 21,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This section does not apply to any person in possession of an untraceable frame or receiver who has been issued a license under RCW 9.41.070."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Provides an exception for unfinished frames and receivers imprinted with a serial number within five business days of receipt.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Exempts persons with a concealed pistol license from the restrictions on the manufacture, possession, sale, transport, transfer, purchase, or receipt of an untraceable firearm.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Exempts persons with a concealed pistol license from the restrictions on the manufacture, possession, sale, transport, transfer, purchase, or receipt of an untraceable frame or receiver.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2123ed0a94240" /></Relationships>
</file>