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0b51ac6a448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S5027.1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13, after "</w:t>
      </w:r>
      <w:r>
        <w:rPr>
          <w:u w:val="single"/>
        </w:rPr>
        <w:t xml:space="preserve">buildings</w:t>
      </w:r>
      <w:r>
        <w:rPr/>
        <w:t xml:space="preserve">" strike all material through "</w:t>
      </w:r>
      <w:r>
        <w:rPr>
          <w:u w:val="single"/>
        </w:rPr>
        <w:t xml:space="preserve">19.27A.020(6)</w:t>
      </w:r>
      <w:r>
        <w:rPr/>
        <w:t xml:space="preserve">" on line 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16, after "</w:t>
      </w:r>
      <w:r>
        <w:rPr>
          <w:u w:val="single"/>
        </w:rPr>
        <w:t xml:space="preserve">buildings</w:t>
      </w:r>
      <w:r>
        <w:rPr/>
        <w:t xml:space="preserve">" strike all material through "</w:t>
      </w:r>
      <w:r>
        <w:rPr>
          <w:u w:val="single"/>
        </w:rPr>
        <w:t xml:space="preserve">residential reach code</w:t>
      </w:r>
      <w:r>
        <w:rPr/>
        <w:t xml:space="preserve">" on line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17, after "</w:t>
      </w:r>
      <w:r>
        <w:rPr>
          <w:u w:val="single"/>
        </w:rPr>
        <w:t xml:space="preserve">preempted.</w:t>
      </w:r>
      <w:r>
        <w:rPr/>
        <w:t xml:space="preserve">" strike all material through "</w:t>
      </w:r>
      <w:r>
        <w:rPr>
          <w:u w:val="single"/>
        </w:rPr>
        <w:t xml:space="preserve">use.</w:t>
      </w:r>
      <w:r>
        <w:rPr/>
        <w:t xml:space="preserve">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29, after "</w:t>
      </w:r>
      <w:r>
        <w:rPr>
          <w:strike/>
        </w:rPr>
        <w:t xml:space="preserve">1990</w:t>
      </w:r>
      <w:r>
        <w:rPr/>
        <w:t xml:space="preserve">" strike all material through "(7)" on page 4, line 1 and insert "</w:t>
      </w:r>
      <w:r>
        <w:rPr>
          <w:strike/>
        </w:rPr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(7)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option for cities, towns, and counties to adopt the statewide residential reach code. Removes the requirement for the state building code council to develop a statewide reach code.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5277a74524d07" /></Relationships>
</file>