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569e46576422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1770-S.E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S5033.1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1770</w:t>
      </w:r>
      <w:r>
        <w:t xml:space="preserve"> -</w:t>
      </w:r>
      <w:r>
        <w:t xml:space="preserve"> </w:t>
        <w:t xml:space="preserve">S AMD TO ENET COMM AMD (S-4748.1/22)</w:t>
      </w:r>
      <w:r>
        <w:t xml:space="preserve"> </w:t>
      </w:r>
      <w:r>
        <w:rPr>
          <w:b/>
        </w:rPr>
        <w:t xml:space="preserve">1263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40, after "</w:t>
      </w:r>
      <w:r>
        <w:rPr>
          <w:u w:val="single"/>
        </w:rPr>
        <w:t xml:space="preserve">2024</w:t>
      </w:r>
      <w:r>
        <w:rPr/>
        <w:t xml:space="preserve">" insert "</w:t>
      </w:r>
      <w:r>
        <w:rPr>
          <w:u w:val="single"/>
        </w:rPr>
        <w:t xml:space="preserve">. A city, town, or county that adopts the statewide residential reach code is prohibited from imposing any impact fee on residential construction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prohibition for any city, town, or county that adopts the statewide residential reach code to impose any impact fee on residential construction.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f47af32934f92" /></Relationships>
</file>