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f3eb7232647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use.</w:t>
      </w:r>
      <w:r>
        <w:rPr/>
        <w:t xml:space="preserve">" insert "</w:t>
      </w:r>
      <w:r>
        <w:rPr>
          <w:u w:val="single"/>
        </w:rPr>
        <w:t xml:space="preserve">A city, town, or county that lacks adequate missing middle housing stock may not adopt or enforce the statewide residential reach code.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a city, town, or county from adopting the statewide residential reach code if the city, town, or county does not have adequate middle housing stock.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669d7843a4abd" /></Relationships>
</file>