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3f7b9781f4f1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S5055.1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</w:t>
      </w:r>
      <w:r>
        <w:rPr>
          <w:u w:val="single"/>
        </w:rPr>
        <w:t xml:space="preserve">use.</w:t>
      </w:r>
      <w:r>
        <w:rPr/>
        <w:t xml:space="preserve">" insert "</w:t>
      </w:r>
      <w:r>
        <w:rPr>
          <w:u w:val="single"/>
        </w:rPr>
        <w:t xml:space="preserve">A city, town, or county located in the first climate zone established in RCW 19.27A.020(3) may not adopt the statewide residential reach code.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Prevents the adoption and enforcement of the statewide residential reach code in jurisdictions that are located within the first climate zone.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8fc6925934b5c" /></Relationships>
</file>