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c9cc682e71461a" /></Relationships>
</file>

<file path=word/document.xml><?xml version="1.0" encoding="utf-8"?>
<w:document xmlns:w="http://schemas.openxmlformats.org/wordprocessingml/2006/main">
  <w:body>
    <w:p>
      <w:r>
        <w:rPr>
          <w:b/>
        </w:rPr>
        <w:r>
          <w:rPr/>
          <w:t xml:space="preserve">1837.E</w:t>
        </w:r>
      </w:r>
      <w:r>
        <w:rPr>
          <w:b/>
        </w:rPr>
        <w:t xml:space="preserve"> </w:t>
        <w:t xml:space="preserve">AMS</w:t>
      </w:r>
      <w:r>
        <w:t xml:space="preserve"> </w:t>
      </w:r>
      <w:r>
        <w:rPr>
          <w:b/>
        </w:rPr>
        <w:t xml:space="preserve">1444</w:t>
      </w:r>
      <w:r>
        <w:rPr>
          <w:b/>
        </w:rPr>
        <w:t xml:space="preserve"> </w:t>
        <w:r>
          <w:rPr/>
          <w:t xml:space="preserve">SHOR</w:t>
        </w:r>
      </w:r>
      <w:r>
        <w:rPr>
          <w:b/>
        </w:rPr>
        <w:t xml:space="preserve"> </w:t>
        <w:r>
          <w:rPr/>
          <w:t xml:space="preserve">S5320.1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3, line 6, after "administration." insert "</w:t>
      </w:r>
      <w:r>
        <w:rPr>
          <w:u w:val="single"/>
        </w:rPr>
        <w:t xml:space="preserve">The department may not adopt any rule unless the injury rate related to the rule has increased over the three-year period prior to beginning the rule-making process.</w:t>
      </w:r>
      <w:r>
        <w:rPr/>
        <w:t xml:space="preserve">"</w:t>
      </w:r>
    </w:p>
    <w:p>
      <w:pPr>
        <w:spacing w:before="0" w:after="0" w:line="408" w:lineRule="exact"/>
        <w:ind w:left="0" w:right="0" w:firstLine="576"/>
        <w:jc w:val="left"/>
      </w:pPr>
      <w:r>
        <w:rPr>
          <w:u w:val="single"/>
        </w:rPr>
        <w:t xml:space="preserve">EFFECT:</w:t>
      </w:r>
      <w:r>
        <w:rPr/>
        <w:t xml:space="preserve"> Provides that the department of labor and industries may not adopt any rule unless the injury rate related to the rule has increased over the three year period prior to beginning the rule-making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6722f423aa4f0e" /></Relationships>
</file>