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d6d0c085743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S0632.1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</w:t>
      </w:r>
      <w:r>
        <w:rPr>
          <w:u w:val="single"/>
        </w:rPr>
        <w:t xml:space="preserve">sexualities,</w:t>
      </w:r>
      <w:r>
        <w:rPr/>
        <w:t xml:space="preserve">" strike "</w:t>
      </w:r>
      <w:r>
        <w:rPr>
          <w:u w:val="single"/>
        </w:rPr>
        <w:t xml:space="preserve">and genders</w:t>
      </w:r>
      <w:r>
        <w:rPr/>
        <w:t xml:space="preserve">" and insert "</w:t>
      </w:r>
      <w:r>
        <w:rPr>
          <w:u w:val="single"/>
        </w:rPr>
        <w:t xml:space="preserve">genders, and rural and underserved populations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21, after "contexts," insert "</w:t>
      </w:r>
      <w:r>
        <w:rPr>
          <w:u w:val="single"/>
        </w:rPr>
        <w:t xml:space="preserve">including rural and underserved communities,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Adds that the training programs identified for equity, diversity, antiracism, and inclusion must consider rural and underserved populations.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Adds rural and underserved communities when acknowledging student cultural histories and contexts within the definition of "cultural competency."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e85820cf54db9" /></Relationships>
</file>