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3da615d5d4f9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5049-S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SALD</w:t>
        </w:r>
      </w:r>
      <w:r>
        <w:rPr>
          <w:b/>
        </w:rPr>
        <w:t xml:space="preserve"> </w:t>
        <w:r>
          <w:rPr/>
          <w:t xml:space="preserve">S1568.1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5049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Saldaña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22, after "</w:t>
      </w:r>
      <w:r>
        <w:rPr>
          <w:u w:val="single"/>
        </w:rPr>
        <w:t xml:space="preserve">volume</w:t>
      </w:r>
      <w:r>
        <w:rPr/>
        <w:t xml:space="preserve">" strike all material through "</w:t>
      </w:r>
      <w:r>
        <w:rPr>
          <w:u w:val="single"/>
        </w:rPr>
        <w:t xml:space="preserve">liquor</w:t>
      </w:r>
      <w:r>
        <w:rPr/>
        <w:t xml:space="preserve">" on line 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12, line 27, strike all of section 3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chapter 66.24 RCW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There is levied and collected a tax on the sale of low-proof beverages equal to $1.25 per gallon.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spirits, beer, or wine distributor under the terms of its license shall pay the tax imposed by this section on sales of low-proof beverages to retailers.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distillery or craft distillery that self-distributes low-proof beverages under the terms of its license shall pay the tax imposed by this section on sales to spirits retailers.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 distillery or craft distillery that sells low-proof beverages directly to consumers under the terms of its license shall pay the tax imposed by this section on those sales.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 holder of an out-of-state certificate with a direct shipment endorsement that self-distributes under the terms of its license shall pay the tax imposed by this section on sales to retailers."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line 29, after "</w:t>
      </w:r>
      <w:r>
        <w:rPr>
          <w:u w:val="single"/>
        </w:rPr>
        <w:t xml:space="preserve">beverages</w:t>
      </w:r>
      <w:r>
        <w:rPr/>
        <w:t xml:space="preserve">" insert "</w:t>
      </w:r>
      <w:r>
        <w:rPr>
          <w:u w:val="single"/>
        </w:rPr>
        <w:t xml:space="preserve">made with spirits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Amends definitions of low-proof beverage to include all low-proof alcoholic drinks regardless of alcohol content. Raises the tax on low-proof beverages from $0.99 per gallon to $1.25 per gallon. Makes other technical changes.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3d313e8c94c50" /></Relationships>
</file>