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bdeca531ad496d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5065-S2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KING</w:t>
        </w:r>
      </w:r>
      <w:r>
        <w:rPr>
          <w:b/>
        </w:rPr>
        <w:t xml:space="preserve"> </w:t>
        <w:r>
          <w:rPr/>
          <w:t xml:space="preserve">S4596.1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2SSB 5065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1131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King</w:t>
      </w:r>
    </w:p>
    <w:p>
      <w:pPr>
        <w:jc w:val="right"/>
      </w:pP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20, after line 6, insert the following:</w:t>
      </w:r>
    </w:p>
    <w:p>
      <w:pPr>
        <w:spacing w:before="400" w:after="0" w:line="408" w:lineRule="exact"/>
        <w:ind w:left="0" w:right="0" w:firstLine="576"/>
        <w:jc w:val="left"/>
      </w:pPr>
      <w:r>
        <w:t>"</w:t>
      </w: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\s 28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Section 10 of this act takes effect only when the federal government does not provide railroad employees with 12 workweeks of leave during any 12-month period."</w:t>
      </w:r>
    </w:p>
    <w:p>
      <w:pPr>
        <w:spacing w:before="480" w:after="0" w:line="408" w:lineRule="exact"/>
      </w:pPr>
      <w:r>
        <w:rPr>
          <w:b/>
          <w:u w:val="single"/>
        </w:rPr>
        <w:t xml:space="preserve">2SSB 5065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1131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King</w:t>
      </w:r>
    </w:p>
    <w:p>
      <w:pPr>
        <w:jc w:val="right"/>
      </w:pP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1, line 2 of the title, after "RCW;" strike the remainder of the title and insert "prescribing penalties; and providing a contingent effective date."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Provides that section 10 of the act does not take effect if the federal government provides railroad employees with 12 workweeks of leave during any 12-month period.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0c90fcfc004c85" /></Relationships>
</file>